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C3D4">
    <v:background id="_x0000_s1025" o:bwmode="white" fillcolor="#b9c3d4">
      <v:fill r:id="rId4" o:title="fon copy" type="tile"/>
    </v:background>
  </w:background>
  <w:body>
    <w:p w:rsidR="0029322F" w:rsidRDefault="000F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322F">
          <w:pgSz w:w="11900" w:h="16840"/>
          <w:pgMar w:top="1440" w:right="11904" w:bottom="144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-971550</wp:posOffset>
            </wp:positionV>
            <wp:extent cx="7620000" cy="10957793"/>
            <wp:effectExtent l="19050" t="0" r="0" b="0"/>
            <wp:wrapNone/>
            <wp:docPr id="3" name="Рисунок 2" descr="титул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95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5" style="position:absolute;margin-left:25.75pt;margin-top:5.6pt;width:501.75pt;height:718.5pt;z-index:251659264" filled="f" stroked="f">
            <v:textbox>
              <w:txbxContent>
                <w:p w:rsidR="001D3AEE" w:rsidRDefault="001D3AEE" w:rsidP="001D3AEE">
                  <w:pPr>
                    <w:jc w:val="center"/>
                    <w:rPr>
                      <w:lang w:val="uk-UA"/>
                    </w:rPr>
                  </w:pPr>
                  <w:r w:rsidRPr="001D3AEE">
                    <w:rPr>
                      <w:lang w:val="uk-UA"/>
                    </w:rPr>
                    <w:t>ГРОМАДСЬКА ЕКСПЕРТИЗА</w:t>
                  </w:r>
                  <w:r>
                    <w:rPr>
                      <w:lang w:val="uk-UA"/>
                    </w:rPr>
                    <w:t xml:space="preserve"> ДІЯЛЬНОСТІ ОРГАНІВ ВИКОНАВЧОЇ ВЛАДИ</w:t>
                  </w:r>
                </w:p>
                <w:p w:rsidR="001D3AEE" w:rsidRPr="001D3AEE" w:rsidRDefault="001D3AEE" w:rsidP="001D3AE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2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AE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Проведення громадської експертизи регулюється </w:t>
                  </w:r>
                  <w:r w:rsidRPr="001D3AEE">
                    <w:rPr>
                      <w:rFonts w:ascii="Arial" w:hAnsi="Arial" w:cs="Arial"/>
                      <w:color w:val="002F93"/>
                      <w:sz w:val="28"/>
                      <w:szCs w:val="28"/>
                      <w:lang w:val="uk-UA"/>
                    </w:rPr>
                    <w:t>ПОСТАНОВОЮ</w:t>
                  </w:r>
                  <w:r w:rsidRPr="001D3AE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 </w:t>
                  </w:r>
                  <w:r w:rsidRPr="001D3AEE">
                    <w:rPr>
                      <w:rFonts w:ascii="Arial" w:hAnsi="Arial" w:cs="Arial"/>
                      <w:color w:val="002F93"/>
                      <w:sz w:val="28"/>
                      <w:szCs w:val="28"/>
                      <w:lang w:val="uk-UA"/>
                    </w:rPr>
                    <w:t xml:space="preserve">КАБІНЕТУ МІНІСТРІВ УКРАЇНИ ВІД 5 ЛИСТОПАДА 2008 Р. № 976 </w:t>
                  </w:r>
                  <w:r w:rsidRPr="001D3AE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«Про</w:t>
                  </w:r>
                  <w:r w:rsidRPr="001D3AEE">
                    <w:rPr>
                      <w:rFonts w:ascii="Arial" w:hAnsi="Arial" w:cs="Arial"/>
                      <w:color w:val="002F93"/>
                      <w:sz w:val="28"/>
                      <w:szCs w:val="28"/>
                      <w:lang w:val="uk-UA"/>
                    </w:rPr>
                    <w:t xml:space="preserve"> </w:t>
                  </w:r>
                  <w:r w:rsidRPr="001D3AE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затвердження Порядку сприяння проведенню громадської експертизи діяльності органів виконавчої влади».</w:t>
                  </w:r>
                </w:p>
                <w:p w:rsidR="001D3AEE" w:rsidRPr="001D3AEE" w:rsidRDefault="001D3AEE" w:rsidP="001D3AE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D3AEE" w:rsidRPr="001D3AEE" w:rsidRDefault="001D3AEE" w:rsidP="001D3AE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D3AEE" w:rsidRPr="001D3AEE" w:rsidRDefault="001D3AEE" w:rsidP="001D3AEE">
                  <w:pPr>
                    <w:widowControl w:val="0"/>
                    <w:autoSpaceDE w:val="0"/>
                    <w:autoSpaceDN w:val="0"/>
                    <w:adjustRightInd w:val="0"/>
                    <w:spacing w:after="0" w:line="214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D3AEE" w:rsidRDefault="001D3AEE" w:rsidP="001D3AE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0" w:lineRule="auto"/>
                    <w:ind w:left="180" w:right="180" w:firstLine="3852"/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</w:pPr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ПОРЯДОК</w:t>
                  </w:r>
                </w:p>
                <w:p w:rsidR="001D3AEE" w:rsidRPr="002F0EAC" w:rsidRDefault="001D3AEE" w:rsidP="001D3AE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0" w:lineRule="auto"/>
                    <w:ind w:left="180" w:righ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сприяння</w:t>
                  </w:r>
                  <w:proofErr w:type="spellEnd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проведенню</w:t>
                  </w:r>
                  <w:proofErr w:type="spellEnd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громадської</w:t>
                  </w:r>
                  <w:proofErr w:type="spellEnd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експертизи</w:t>
                  </w:r>
                  <w:proofErr w:type="spellEnd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діяльності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органів</w:t>
                  </w:r>
                  <w:proofErr w:type="spellEnd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виконавчої</w:t>
                  </w:r>
                  <w:proofErr w:type="spellEnd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b/>
                      <w:bCs/>
                      <w:color w:val="002F93"/>
                      <w:sz w:val="32"/>
                      <w:szCs w:val="32"/>
                      <w:lang w:val="ru-RU"/>
                    </w:rPr>
                    <w:t>влади</w:t>
                  </w:r>
                  <w:proofErr w:type="spellEnd"/>
                </w:p>
                <w:p w:rsidR="001D3AEE" w:rsidRPr="002F0EAC" w:rsidRDefault="001D3AEE" w:rsidP="001D3AE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D3AEE" w:rsidRPr="002F0EAC" w:rsidRDefault="001D3AEE" w:rsidP="001D3AEE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D3AEE" w:rsidRPr="002F0EAC" w:rsidRDefault="001D3AEE" w:rsidP="001D3AEE">
                  <w:pPr>
                    <w:widowControl w:val="0"/>
                    <w:autoSpaceDE w:val="0"/>
                    <w:autoSpaceDN w:val="0"/>
                    <w:adjustRightInd w:val="0"/>
                    <w:spacing w:after="0" w:line="284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D3AEE" w:rsidRPr="002F0EAC" w:rsidRDefault="001D3AEE" w:rsidP="001D3AE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Порядок,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розроблений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до пункту 4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статті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5 Указу Президента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15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вересня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2005 р. № 1276 (1276/2005) «Про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забезпечення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участі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громадськості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формуванні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реалізації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державної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політики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»,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визначає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процедуру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сприяння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проведенню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інститутами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громадянського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суспільства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експертизи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діяльності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органів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2F0EAC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1D3AEE" w:rsidRDefault="001D3AEE" w:rsidP="001D3AEE">
                  <w:pPr>
                    <w:rPr>
                      <w:lang w:val="ru-RU"/>
                    </w:rPr>
                  </w:pPr>
                </w:p>
                <w:p w:rsidR="001D3AEE" w:rsidRPr="001D3AEE" w:rsidRDefault="001D3AEE" w:rsidP="001D3AEE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638300" cy="2781300"/>
                        <wp:effectExtent l="19050" t="0" r="0" b="0"/>
                        <wp:docPr id="4" name="Рисунок 3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278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6" style="position:absolute;margin-left:189.4pt;margin-top:6.85pt;width:307.5pt;height:233.25pt;z-index:251660288" fillcolor="red" stroked="f">
            <v:textbox>
              <w:txbxContent>
                <w:p w:rsidR="001D3AEE" w:rsidRPr="001D3AEE" w:rsidRDefault="001D3AEE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Громадська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експертиза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діяльності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орга-нів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дал</w:t>
                  </w:r>
                  <w:proofErr w:type="gram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і-</w:t>
                  </w:r>
                  <w:proofErr w:type="gram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громадська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експертиза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)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є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складовою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механізму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демо-кратичного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управління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державою,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який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передбачає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проведення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інститутами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гро-мадянського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суспільства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оцінки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діяльнос-ті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органів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ефективнос-ті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прийняття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виконання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такими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орга-нами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рішень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підготовку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пропозицій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щодо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розв’язання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суспільно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значущих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проблем для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їх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врахування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органами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своїй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роботі</w:t>
                  </w:r>
                  <w:proofErr w:type="spellEnd"/>
                  <w:r w:rsidRPr="001D3AE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.</w:t>
                  </w: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7" style="position:absolute;margin-left:22pt;margin-top:7.1pt;width:502.5pt;height:718.5pt;z-index:251661312" filled="f" stroked="f">
            <v:textbox>
              <w:txbxContent>
                <w:p w:rsidR="00217D86" w:rsidRPr="00217D86" w:rsidRDefault="00217D86" w:rsidP="00217D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firstLine="567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до Порядку </w:t>
                  </w:r>
                  <w:proofErr w:type="spellStart"/>
                  <w:proofErr w:type="gram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ід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інститутами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громадянського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суспільства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слід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розуміти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громадські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організації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професійні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творчі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спілки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організації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роботодавців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благодійні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релігійні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організації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самоорганізації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населення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недержавні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засоби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масової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інформації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інші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непідприємницькі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товариства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установи,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легалізовані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до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законодавства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. </w:t>
                  </w:r>
                </w:p>
                <w:p w:rsidR="00217D86" w:rsidRPr="00217D86" w:rsidRDefault="00217D86" w:rsidP="00217D86">
                  <w:pPr>
                    <w:spacing w:line="288" w:lineRule="auto"/>
                    <w:rPr>
                      <w:rFonts w:ascii="Arial" w:hAnsi="Arial" w:cs="Arial"/>
                      <w:noProof/>
                      <w:lang w:val="uk-UA" w:eastAsia="uk-UA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Орган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сприяє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інституту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громадянського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суспільства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проведенні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експертизи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у</w:t>
                  </w:r>
                  <w:proofErr w:type="gram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разі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надходження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нього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письмового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запиту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із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зазначенням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:</w:t>
                  </w: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hanging="352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його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найменування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відомостей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про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легал</w:t>
                  </w:r>
                  <w:proofErr w:type="gram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ізацію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місцезнаходження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електронної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адреси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(за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наявності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); </w:t>
                  </w: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hanging="352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предмета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мети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експертизи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; </w:t>
                  </w: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hanging="352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переліку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документів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інших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матер</w:t>
                  </w:r>
                  <w:proofErr w:type="gram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іалів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необхідних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проведення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експертизи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далі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-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матеріали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); </w:t>
                  </w: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hanging="352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адреси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за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якою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надсилається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відповідь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на запит,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або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пр</w:t>
                  </w:r>
                  <w:proofErr w:type="gram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ізвища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ім’я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та по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батькові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особи,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уповноваженої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одержати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таку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відповідь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її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контактного телефону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електронної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адреси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(за </w:t>
                  </w:r>
                  <w:proofErr w:type="spellStart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наявності</w:t>
                  </w:r>
                  <w:proofErr w:type="spellEnd"/>
                  <w:r w:rsidRPr="00217D86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). </w:t>
                  </w: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:rsidR="00217D86" w:rsidRPr="00217D86" w:rsidRDefault="00217D86" w:rsidP="00217D86">
                  <w:pPr>
                    <w:spacing w:line="288" w:lineRule="auto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  <w:p w:rsidR="001D3AEE" w:rsidRPr="00217D86" w:rsidRDefault="001D3AEE" w:rsidP="00217D86">
                  <w:pPr>
                    <w:spacing w:line="288" w:lineRule="auto"/>
                    <w:rPr>
                      <w:rFonts w:ascii="Arial" w:hAnsi="Arial" w:cs="Arial"/>
                      <w:lang w:val="uk-UA"/>
                    </w:rPr>
                  </w:pP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217D86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0" style="position:absolute;margin-left:42.4pt;margin-top:4.35pt;width:462pt;height:49.5pt;z-index:251663360" fillcolor="#00b050" stroked="f">
            <v:textbox>
              <w:txbxContent>
                <w:p w:rsidR="00217D86" w:rsidRPr="00217D86" w:rsidRDefault="00217D86" w:rsidP="00217D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87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День </w:t>
                  </w:r>
                  <w:proofErr w:type="spellStart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надходження</w:t>
                  </w:r>
                  <w:proofErr w:type="spellEnd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запиту</w:t>
                  </w:r>
                  <w:proofErr w:type="spellEnd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є</w:t>
                  </w:r>
                  <w:proofErr w:type="spellEnd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датою початку </w:t>
                  </w:r>
                  <w:proofErr w:type="spellStart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проведення</w:t>
                  </w:r>
                  <w:proofErr w:type="spellEnd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експертизи</w:t>
                  </w:r>
                  <w:proofErr w:type="spellEnd"/>
                  <w:r w:rsidRPr="00217D8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.</w:t>
                  </w:r>
                </w:p>
                <w:p w:rsidR="00217D86" w:rsidRPr="00217D86" w:rsidRDefault="00217D86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ru-RU"/>
                    </w:rPr>
                  </w:pP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C860C1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1" style="position:absolute;margin-left:33.25pt;margin-top:8.6pt;width:485.25pt;height:30.75pt;z-index:251664384" fillcolor="#00b0f0" stroked="f">
            <v:textbox>
              <w:txbxContent>
                <w:p w:rsidR="00C860C1" w:rsidRPr="00C860C1" w:rsidRDefault="00C860C1" w:rsidP="00C860C1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860C1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uk-UA"/>
                    </w:rPr>
                    <w:t>Дії органу виконавчої влади після надходження запиту :</w:t>
                  </w:r>
                </w:p>
                <w:p w:rsidR="00C860C1" w:rsidRPr="00C860C1" w:rsidRDefault="00C860C1">
                  <w:pPr>
                    <w:rPr>
                      <w:color w:val="FFFFFF" w:themeColor="background1"/>
                      <w:lang w:val="uk-UA"/>
                    </w:rPr>
                  </w:pPr>
                </w:p>
              </w:txbxContent>
            </v:textbox>
          </v:rect>
        </w:pict>
      </w:r>
      <w:r w:rsidR="00217D8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9" style="position:absolute;margin-left:17.5pt;margin-top:3.35pt;width:505.5pt;height:724.5pt;z-index:251662336" filled="f" stroked="f">
            <v:textbox>
              <w:txbxContent>
                <w:p w:rsidR="00C860C1" w:rsidRDefault="00C860C1" w:rsidP="00217D86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Pr="00217D86" w:rsidRDefault="00C860C1" w:rsidP="00C860C1">
                  <w:pPr>
                    <w:spacing w:after="0" w:line="240" w:lineRule="auto"/>
                    <w:ind w:left="615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C860C1" w:rsidRDefault="00C860C1" w:rsidP="00217D86">
                  <w:pPr>
                    <w:ind w:left="18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  <w:lang w:val="uk-UA"/>
                    </w:rPr>
                  </w:pPr>
                </w:p>
                <w:p w:rsidR="00217D86" w:rsidRPr="00217D86" w:rsidRDefault="00217D86" w:rsidP="00217D86">
                  <w:pPr>
                    <w:ind w:left="180"/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</w:pPr>
                </w:p>
                <w:p w:rsidR="00217D86" w:rsidRPr="00217D86" w:rsidRDefault="00217D86" w:rsidP="00217D86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2F59B5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5" style="position:absolute;margin-left:33.25pt;margin-top:3.6pt;width:485.25pt;height:199.5pt;z-index:251665408">
            <v:textbox>
              <w:txbxContent>
                <w:p w:rsidR="00C860C1" w:rsidRPr="00956D3B" w:rsidRDefault="00C860C1" w:rsidP="00C860C1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Видає у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highlight w:val="magenta"/>
                      <w:lang w:val="uk-UA"/>
                    </w:rPr>
                    <w:t>тижневий строк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наказ (розпорядження) про проведення експертизи і заходів, пов’язаних з підготовкою матеріалів, зміст якого доводить до відома інституту громадянського суспільства протягом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highlight w:val="magenta"/>
                      <w:lang w:val="uk-UA"/>
                    </w:rPr>
                    <w:t>трьох днів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з моменту його видання.</w:t>
                  </w:r>
                </w:p>
                <w:p w:rsidR="00C860C1" w:rsidRPr="00956D3B" w:rsidRDefault="00C860C1" w:rsidP="00C860C1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Утворює у разі потреби робочу групу.</w:t>
                  </w:r>
                </w:p>
                <w:p w:rsidR="00C860C1" w:rsidRPr="00956D3B" w:rsidRDefault="00C860C1" w:rsidP="00C860C1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Розміщує у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highlight w:val="magenta"/>
                      <w:lang w:val="uk-UA"/>
                    </w:rPr>
                    <w:t>тижневий строк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інформацію про надходження запиту та заходи, здійснені з метою сприяння її проведенню на офіційному </w:t>
                  </w:r>
                  <w:proofErr w:type="spellStart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веб-сайті</w:t>
                  </w:r>
                  <w:proofErr w:type="spellEnd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.</w:t>
                  </w:r>
                </w:p>
                <w:p w:rsidR="00C860C1" w:rsidRPr="00956D3B" w:rsidRDefault="00C860C1" w:rsidP="00C860C1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Подає інституту громадянського суспільства запитувані матеріали або завірені в установленому порядку копії.</w:t>
                  </w:r>
                </w:p>
                <w:p w:rsidR="00C860C1" w:rsidRPr="00956D3B" w:rsidRDefault="00956D3B" w:rsidP="00956D3B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з урахуванням вимог та строку, визначених Законом України «Про інформацію»</w:t>
                  </w: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.</w:t>
                  </w: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2F59B5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6" style="position:absolute;margin-left:33.25pt;margin-top:7.35pt;width:485.25pt;height:43.5pt;z-index:251666432" fillcolor="#00b0f0" stroked="f">
            <v:textbox>
              <w:txbxContent>
                <w:p w:rsidR="00C860C1" w:rsidRPr="00C860C1" w:rsidRDefault="00C860C1" w:rsidP="00C860C1">
                  <w:pPr>
                    <w:rPr>
                      <w:color w:val="FFFFFF" w:themeColor="background1"/>
                      <w:lang w:val="ru-RU"/>
                    </w:rPr>
                  </w:pPr>
                  <w:r w:rsidRPr="00C860C1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uk-UA"/>
                    </w:rPr>
                    <w:t>Після надходження експертних пропозицій орган виконавчої влади:</w:t>
                  </w: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956D3B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7" style="position:absolute;margin-left:33.25pt;margin-top:.35pt;width:480.75pt;height:393.75pt;z-index:251667456">
            <v:textbox>
              <w:txbxContent>
                <w:p w:rsidR="00C860C1" w:rsidRPr="00956D3B" w:rsidRDefault="00C860C1" w:rsidP="00C860C1">
                  <w:pPr>
                    <w:numPr>
                      <w:ilvl w:val="1"/>
                      <w:numId w:val="32"/>
                    </w:numPr>
                    <w:tabs>
                      <w:tab w:val="clear" w:pos="1440"/>
                      <w:tab w:val="num" w:pos="142"/>
                    </w:tabs>
                    <w:spacing w:after="0" w:line="240" w:lineRule="auto"/>
                    <w:ind w:left="426" w:hanging="284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розміщує їх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highlight w:val="magenta"/>
                      <w:lang w:val="uk-UA"/>
                    </w:rPr>
                    <w:t>у тижневий строк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на офіційному </w:t>
                  </w:r>
                  <w:proofErr w:type="spellStart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веб-сайті</w:t>
                  </w:r>
                  <w:proofErr w:type="spellEnd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;</w:t>
                  </w:r>
                </w:p>
                <w:p w:rsidR="00C860C1" w:rsidRPr="00956D3B" w:rsidRDefault="00C860C1" w:rsidP="00C860C1">
                  <w:pPr>
                    <w:numPr>
                      <w:ilvl w:val="1"/>
                      <w:numId w:val="32"/>
                    </w:numPr>
                    <w:tabs>
                      <w:tab w:val="clear" w:pos="1440"/>
                      <w:tab w:val="num" w:pos="142"/>
                    </w:tabs>
                    <w:spacing w:after="0" w:line="240" w:lineRule="auto"/>
                    <w:ind w:left="426" w:hanging="284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розглядає їх на найближчому засіданні колегії за участю представників інституту громадянського суспільства, що проводив експертизу. Якщо колегію не утворено, пропозиції розглядає керівник органу у   </w:t>
                  </w:r>
                </w:p>
                <w:p w:rsidR="00C860C1" w:rsidRPr="00956D3B" w:rsidRDefault="00C860C1" w:rsidP="00C860C1">
                  <w:pPr>
                    <w:spacing w:after="0" w:line="240" w:lineRule="auto"/>
                    <w:ind w:left="426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highlight w:val="magenta"/>
                      <w:lang w:val="uk-UA"/>
                    </w:rPr>
                    <w:t>2-тижневий строк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за участю представників інституту громадянського суспільства; </w:t>
                  </w:r>
                </w:p>
                <w:p w:rsidR="00C860C1" w:rsidRPr="00956D3B" w:rsidRDefault="00C860C1" w:rsidP="00C860C1">
                  <w:pPr>
                    <w:numPr>
                      <w:ilvl w:val="1"/>
                      <w:numId w:val="32"/>
                    </w:numPr>
                    <w:tabs>
                      <w:tab w:val="clear" w:pos="1440"/>
                      <w:tab w:val="num" w:pos="142"/>
                    </w:tabs>
                    <w:spacing w:after="0" w:line="240" w:lineRule="auto"/>
                    <w:ind w:left="426" w:hanging="284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розробляє і затверджує за результатами розгляду експертних пропозицій заходи, спрямовані на їх реалізацію; подає у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highlight w:val="magenta"/>
                      <w:lang w:val="uk-UA"/>
                    </w:rPr>
                    <w:t>10-денний строк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інституту громадянського суспільства письмову відповідь про результати розгляду та заходи, спрямовані на їх реалізацію, з одночасним розміщенням інформації у ЗМІ та /або на офіційному </w:t>
                  </w:r>
                  <w:proofErr w:type="spellStart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веб-сайті</w:t>
                  </w:r>
                  <w:proofErr w:type="spellEnd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;</w:t>
                  </w:r>
                </w:p>
                <w:p w:rsidR="00C860C1" w:rsidRPr="00956D3B" w:rsidRDefault="00C860C1" w:rsidP="00C860C1">
                  <w:pPr>
                    <w:numPr>
                      <w:ilvl w:val="1"/>
                      <w:numId w:val="32"/>
                    </w:numPr>
                    <w:tabs>
                      <w:tab w:val="clear" w:pos="1440"/>
                      <w:tab w:val="num" w:pos="142"/>
                    </w:tabs>
                    <w:spacing w:after="0" w:line="240" w:lineRule="auto"/>
                    <w:ind w:left="426" w:hanging="284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надсилає</w:t>
                  </w:r>
                  <w:r w:rsidRPr="00956D3B">
                    <w:rPr>
                      <w:rFonts w:ascii="Arial" w:hAnsi="Arial" w:cs="Arial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в письмовій та електронній формі Секретаріату Кабміну для розміщення на урядовому </w:t>
                  </w:r>
                  <w:proofErr w:type="spellStart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веб-сайті</w:t>
                  </w:r>
                  <w:proofErr w:type="spellEnd"/>
                  <w:r w:rsidRPr="00956D3B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:</w:t>
                  </w:r>
                </w:p>
                <w:p w:rsidR="00C860C1" w:rsidRPr="00956D3B" w:rsidRDefault="00C860C1" w:rsidP="00C860C1">
                  <w:pPr>
                    <w:pStyle w:val="HTML"/>
                    <w:shd w:val="clear" w:color="auto" w:fill="FFFFFF"/>
                    <w:ind w:left="426" w:hanging="284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b/>
                      <w:sz w:val="26"/>
                      <w:szCs w:val="26"/>
                      <w:lang w:val="uk-UA"/>
                    </w:rPr>
                    <w:t>а)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інформацію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про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найменування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прізвище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ім'я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, по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батькові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керівника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поштову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адресу,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контактні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дані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інституту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громадянського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суспільства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що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проводив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громадську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експертизу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, предмет та строки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її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проведення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; </w:t>
                  </w:r>
                </w:p>
                <w:p w:rsidR="00C860C1" w:rsidRPr="00956D3B" w:rsidRDefault="00C860C1" w:rsidP="00C860C1">
                  <w:pPr>
                    <w:pStyle w:val="HTML"/>
                    <w:shd w:val="clear" w:color="auto" w:fill="FFFFFF"/>
                    <w:ind w:left="426" w:hanging="284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</w:pPr>
                  <w:bookmarkStart w:id="1" w:name="o38"/>
                  <w:bookmarkEnd w:id="1"/>
                  <w:r w:rsidRPr="00956D3B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  <w:lang w:val="uk-UA"/>
                    </w:rPr>
                    <w:t>б)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експертні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пропозиції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подані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інститутом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громадянського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суспільства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за результатами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проведеної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громадської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експертизи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; </w:t>
                  </w:r>
                  <w:bookmarkStart w:id="2" w:name="o39"/>
                  <w:bookmarkEnd w:id="2"/>
                </w:p>
                <w:p w:rsidR="00C860C1" w:rsidRPr="00956D3B" w:rsidRDefault="00C860C1" w:rsidP="00C860C1">
                  <w:pPr>
                    <w:pStyle w:val="HTML"/>
                    <w:shd w:val="clear" w:color="auto" w:fill="FFFFFF"/>
                    <w:ind w:left="426" w:hanging="284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</w:pPr>
                  <w:r w:rsidRPr="00956D3B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  <w:lang w:val="uk-UA"/>
                    </w:rPr>
                    <w:t>в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  <w:t>)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затверджені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органом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виконавчої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влади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заходи</w:t>
                  </w:r>
                  <w:r w:rsidRPr="00956D3B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для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реалізації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експертнихпропозицій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; </w:t>
                  </w:r>
                </w:p>
                <w:p w:rsidR="00C860C1" w:rsidRPr="00956D3B" w:rsidRDefault="00C860C1" w:rsidP="00C860C1">
                  <w:pPr>
                    <w:pStyle w:val="HTML"/>
                    <w:shd w:val="clear" w:color="auto" w:fill="FFFFFF"/>
                    <w:ind w:left="426" w:hanging="284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</w:pPr>
                  <w:bookmarkStart w:id="3" w:name="o40"/>
                  <w:bookmarkEnd w:id="3"/>
                  <w:r w:rsidRPr="00956D3B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  <w:lang w:val="uk-UA"/>
                    </w:rPr>
                    <w:t>г)</w:t>
                  </w:r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відповідь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органу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виконавчої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влади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інституту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громадянського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суспільства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про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результати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розгляду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експертних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пропозицій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 та заходи для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їх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реалізації</w:t>
                  </w:r>
                  <w:proofErr w:type="spellEnd"/>
                  <w:r w:rsidRPr="00956D3B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.</w:t>
                  </w:r>
                </w:p>
                <w:p w:rsidR="00C860C1" w:rsidRPr="00956D3B" w:rsidRDefault="00C860C1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C860C1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8" style="position:absolute;margin-left:22pt;margin-top:7.1pt;width:500.25pt;height:719.25pt;z-index:251668480" filled="f" stroked="f">
            <v:textbox>
              <w:txbxContent>
                <w:p w:rsidR="00C860C1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857BBE">
                    <w:rPr>
                      <w:rFonts w:ascii="Arial" w:hAnsi="Arial" w:cs="Arial"/>
                      <w:noProof/>
                      <w:sz w:val="28"/>
                      <w:szCs w:val="28"/>
                      <w:lang w:val="uk-UA" w:eastAsia="uk-UA"/>
                    </w:rPr>
                    <w:drawing>
                      <wp:inline distT="0" distB="0" distL="0" distR="0">
                        <wp:extent cx="666750" cy="1131924"/>
                        <wp:effectExtent l="19050" t="0" r="0" b="0"/>
                        <wp:docPr id="11" name="Рисунок 10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519" cy="1134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6D3B" w:rsidRPr="00857BBE" w:rsidRDefault="00956D3B" w:rsidP="00956D3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857BB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Пропозиції, підготовлені інститутом громадянського суспільства за результатами проведеної громадської експертизи (далі - експертні пропозиції), враховуються органом виконавчої влади: </w:t>
                  </w:r>
                </w:p>
                <w:p w:rsidR="00956D3B" w:rsidRPr="00857BBE" w:rsidRDefault="00956D3B" w:rsidP="00956D3B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857BB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під час підготовки програм соціально-економічного розвитку, </w:t>
                  </w:r>
                </w:p>
                <w:p w:rsidR="00956D3B" w:rsidRPr="00857BBE" w:rsidRDefault="00956D3B" w:rsidP="00956D3B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857BB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державних цільових та регіональних програм, </w:t>
                  </w:r>
                </w:p>
                <w:p w:rsidR="00956D3B" w:rsidRPr="00857BBE" w:rsidRDefault="00956D3B" w:rsidP="00956D3B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857BB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 xml:space="preserve">формування бюджетів відповідного рівня, </w:t>
                  </w:r>
                </w:p>
                <w:p w:rsidR="00956D3B" w:rsidRPr="00857BBE" w:rsidRDefault="00956D3B" w:rsidP="00956D3B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857BBE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вирішення питань поточної діяльності.</w:t>
                  </w:r>
                </w:p>
                <w:p w:rsidR="00956D3B" w:rsidRPr="00857BBE" w:rsidRDefault="00956D3B" w:rsidP="00956D3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956D3B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956D3B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956D3B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956D3B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956D3B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  <w:p w:rsidR="00956D3B" w:rsidRPr="00857BBE" w:rsidRDefault="00956D3B" w:rsidP="00956D3B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1D3AEE" w:rsidRDefault="00956D3B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39" style="position:absolute;margin-left:86.5pt;margin-top:3.1pt;width:430.5pt;height:82.5pt;z-index:251669504" fillcolor="red" stroked="f">
            <v:textbox>
              <w:txbxContent>
                <w:p w:rsidR="00956D3B" w:rsidRPr="00956D3B" w:rsidRDefault="00956D3B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Посадові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особи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органу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виконавчої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влади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не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повинні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перешкоджати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проведенню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громадської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експертизи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та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втручатись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діяльність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інституту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громадянського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суспільства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пов’язану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її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проведенням</w:t>
                  </w:r>
                  <w:proofErr w:type="spellEnd"/>
                  <w:r w:rsidRPr="00956D3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3AEE" w:rsidRDefault="001D3AEE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0F5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857BBE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40" style="position:absolute;margin-left:36.25pt;margin-top:6.35pt;width:480.75pt;height:138.75pt;z-index:251670528" fillcolor="#00b050" stroked="f">
            <v:textbox style="mso-next-textbox:#_x0000_s1240">
              <w:txbxContent>
                <w:p w:rsidR="00857BBE" w:rsidRPr="00857BBE" w:rsidRDefault="00857BBE" w:rsidP="00857BBE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Матеріали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та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інформацію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по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експертизі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надсилати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на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електронну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адресу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Департаменту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інформаційної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діяльності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та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комунікацій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громадськістю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облдержадміністрації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- depinformcom@vin.gov.ua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для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розміщення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на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офіційному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веб-сайті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облдержадміністрації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рубриці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Громадянське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суспільство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»,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підрубрика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 «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Громадська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експертиза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та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урядовому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веб-сайті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Громадянське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суспільство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влада</w:t>
                  </w:r>
                  <w:proofErr w:type="spellEnd"/>
                  <w:r w:rsidRPr="00857BB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».</w:t>
                  </w:r>
                </w:p>
                <w:p w:rsidR="00857BBE" w:rsidRPr="00857BBE" w:rsidRDefault="00857BBE" w:rsidP="00857BBE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860C1" w:rsidRDefault="00C860C1" w:rsidP="00C86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860C1" w:rsidSect="000F5D8D">
      <w:pgSz w:w="11904" w:h="16840"/>
      <w:pgMar w:top="763" w:right="1120" w:bottom="491" w:left="1240" w:header="720" w:footer="720" w:gutter="0"/>
      <w:cols w:space="720" w:equalWidth="0">
        <w:col w:w="9540" w:space="3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D4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E1"/>
    <w:multiLevelType w:val="hybridMultilevel"/>
    <w:tmpl w:val="0000798B"/>
    <w:lvl w:ilvl="0" w:tplc="000012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23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A1"/>
    <w:multiLevelType w:val="hybridMultilevel"/>
    <w:tmpl w:val="00005422"/>
    <w:lvl w:ilvl="0" w:tplc="00003EF6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49"/>
    <w:multiLevelType w:val="hybridMultilevel"/>
    <w:tmpl w:val="00005F32"/>
    <w:lvl w:ilvl="0" w:tplc="00003BF6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50"/>
    <w:multiLevelType w:val="hybridMultilevel"/>
    <w:tmpl w:val="000022EE"/>
    <w:lvl w:ilvl="0" w:tplc="00004B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D12"/>
    <w:multiLevelType w:val="hybridMultilevel"/>
    <w:tmpl w:val="0000074D"/>
    <w:lvl w:ilvl="0" w:tplc="00004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14F"/>
    <w:multiLevelType w:val="hybridMultilevel"/>
    <w:tmpl w:val="00005E14"/>
    <w:lvl w:ilvl="0" w:tplc="00004DF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4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2E4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A9E"/>
    <w:multiLevelType w:val="hybridMultilevel"/>
    <w:tmpl w:val="0000797D"/>
    <w:lvl w:ilvl="0" w:tplc="00005F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DC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0D"/>
    <w:multiLevelType w:val="hybridMultilevel"/>
    <w:tmpl w:val="0000491C"/>
    <w:lvl w:ilvl="0" w:tplc="00004D06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6AE"/>
    <w:multiLevelType w:val="hybridMultilevel"/>
    <w:tmpl w:val="00000732"/>
    <w:lvl w:ilvl="0" w:tplc="000001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B0"/>
    <w:multiLevelType w:val="hybridMultilevel"/>
    <w:tmpl w:val="000026CA"/>
    <w:lvl w:ilvl="0" w:tplc="000036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F5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36"/>
    <w:multiLevelType w:val="hybridMultilevel"/>
    <w:tmpl w:val="00005CFD"/>
    <w:lvl w:ilvl="0" w:tplc="00003E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B89"/>
    <w:multiLevelType w:val="hybridMultilevel"/>
    <w:tmpl w:val="0000030A"/>
    <w:lvl w:ilvl="0" w:tplc="000030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B7"/>
    <w:multiLevelType w:val="hybridMultilevel"/>
    <w:tmpl w:val="00006032"/>
    <w:lvl w:ilvl="0" w:tplc="00002C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C6415AE"/>
    <w:multiLevelType w:val="hybridMultilevel"/>
    <w:tmpl w:val="670A75A2"/>
    <w:lvl w:ilvl="0" w:tplc="5510B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4A3993"/>
    <w:multiLevelType w:val="hybridMultilevel"/>
    <w:tmpl w:val="0094A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C574E5"/>
    <w:multiLevelType w:val="hybridMultilevel"/>
    <w:tmpl w:val="3628F9C8"/>
    <w:lvl w:ilvl="0" w:tplc="5510B090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CDE432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41246C"/>
    <w:multiLevelType w:val="hybridMultilevel"/>
    <w:tmpl w:val="95207812"/>
    <w:lvl w:ilvl="0" w:tplc="5510B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01C97"/>
    <w:multiLevelType w:val="hybridMultilevel"/>
    <w:tmpl w:val="C54EB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0110C"/>
    <w:multiLevelType w:val="hybridMultilevel"/>
    <w:tmpl w:val="44B42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2F358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2"/>
  </w:num>
  <w:num w:numId="5">
    <w:abstractNumId w:val="21"/>
  </w:num>
  <w:num w:numId="6">
    <w:abstractNumId w:val="1"/>
  </w:num>
  <w:num w:numId="7">
    <w:abstractNumId w:val="5"/>
  </w:num>
  <w:num w:numId="8">
    <w:abstractNumId w:val="3"/>
  </w:num>
  <w:num w:numId="9">
    <w:abstractNumId w:val="17"/>
  </w:num>
  <w:num w:numId="10">
    <w:abstractNumId w:val="8"/>
  </w:num>
  <w:num w:numId="11">
    <w:abstractNumId w:val="14"/>
  </w:num>
  <w:num w:numId="12">
    <w:abstractNumId w:val="24"/>
  </w:num>
  <w:num w:numId="13">
    <w:abstractNumId w:val="12"/>
  </w:num>
  <w:num w:numId="14">
    <w:abstractNumId w:val="28"/>
  </w:num>
  <w:num w:numId="15">
    <w:abstractNumId w:val="4"/>
  </w:num>
  <w:num w:numId="16">
    <w:abstractNumId w:val="23"/>
  </w:num>
  <w:num w:numId="17">
    <w:abstractNumId w:val="18"/>
  </w:num>
  <w:num w:numId="18">
    <w:abstractNumId w:val="27"/>
  </w:num>
  <w:num w:numId="19">
    <w:abstractNumId w:val="19"/>
  </w:num>
  <w:num w:numId="20">
    <w:abstractNumId w:val="11"/>
  </w:num>
  <w:num w:numId="21">
    <w:abstractNumId w:val="26"/>
  </w:num>
  <w:num w:numId="22">
    <w:abstractNumId w:val="10"/>
  </w:num>
  <w:num w:numId="23">
    <w:abstractNumId w:val="16"/>
  </w:num>
  <w:num w:numId="24">
    <w:abstractNumId w:val="15"/>
  </w:num>
  <w:num w:numId="25">
    <w:abstractNumId w:val="7"/>
  </w:num>
  <w:num w:numId="26">
    <w:abstractNumId w:val="29"/>
  </w:num>
  <w:num w:numId="27">
    <w:abstractNumId w:val="9"/>
  </w:num>
  <w:num w:numId="28">
    <w:abstractNumId w:val="2"/>
  </w:num>
  <w:num w:numId="29">
    <w:abstractNumId w:val="6"/>
  </w:num>
  <w:num w:numId="30">
    <w:abstractNumId w:val="20"/>
  </w:num>
  <w:num w:numId="31">
    <w:abstractNumId w:val="35"/>
  </w:num>
  <w:num w:numId="32">
    <w:abstractNumId w:val="32"/>
  </w:num>
  <w:num w:numId="33">
    <w:abstractNumId w:val="33"/>
  </w:num>
  <w:num w:numId="34">
    <w:abstractNumId w:val="30"/>
  </w:num>
  <w:num w:numId="35">
    <w:abstractNumId w:val="3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67C36"/>
    <w:rsid w:val="00025106"/>
    <w:rsid w:val="00032A68"/>
    <w:rsid w:val="00042D0A"/>
    <w:rsid w:val="00083E6B"/>
    <w:rsid w:val="000B5777"/>
    <w:rsid w:val="000D244D"/>
    <w:rsid w:val="000F5D8D"/>
    <w:rsid w:val="00151D52"/>
    <w:rsid w:val="001D3AEE"/>
    <w:rsid w:val="00217D86"/>
    <w:rsid w:val="00224262"/>
    <w:rsid w:val="00240823"/>
    <w:rsid w:val="002663D3"/>
    <w:rsid w:val="0029322F"/>
    <w:rsid w:val="002A3248"/>
    <w:rsid w:val="002E7DEB"/>
    <w:rsid w:val="002F0EAC"/>
    <w:rsid w:val="002F59B5"/>
    <w:rsid w:val="00392A80"/>
    <w:rsid w:val="003A06CC"/>
    <w:rsid w:val="003A635E"/>
    <w:rsid w:val="003B3734"/>
    <w:rsid w:val="004050B7"/>
    <w:rsid w:val="004059E4"/>
    <w:rsid w:val="0040792F"/>
    <w:rsid w:val="00443278"/>
    <w:rsid w:val="0047624B"/>
    <w:rsid w:val="004C07A1"/>
    <w:rsid w:val="004E6F38"/>
    <w:rsid w:val="00510036"/>
    <w:rsid w:val="00512CBA"/>
    <w:rsid w:val="00543499"/>
    <w:rsid w:val="005C295A"/>
    <w:rsid w:val="005F438D"/>
    <w:rsid w:val="00646E3E"/>
    <w:rsid w:val="0067422D"/>
    <w:rsid w:val="006808DF"/>
    <w:rsid w:val="006B2FD6"/>
    <w:rsid w:val="006C1F43"/>
    <w:rsid w:val="006C2D22"/>
    <w:rsid w:val="00724D58"/>
    <w:rsid w:val="00750F5B"/>
    <w:rsid w:val="007C6CE5"/>
    <w:rsid w:val="00834599"/>
    <w:rsid w:val="00857BBE"/>
    <w:rsid w:val="008F5C79"/>
    <w:rsid w:val="00947CA2"/>
    <w:rsid w:val="00956D3B"/>
    <w:rsid w:val="00967C36"/>
    <w:rsid w:val="009B166E"/>
    <w:rsid w:val="009B65AE"/>
    <w:rsid w:val="00A876A1"/>
    <w:rsid w:val="00AA39D4"/>
    <w:rsid w:val="00AB49B2"/>
    <w:rsid w:val="00AE357B"/>
    <w:rsid w:val="00B526EB"/>
    <w:rsid w:val="00B65E76"/>
    <w:rsid w:val="00B75870"/>
    <w:rsid w:val="00B932C3"/>
    <w:rsid w:val="00C0400C"/>
    <w:rsid w:val="00C07931"/>
    <w:rsid w:val="00C448AB"/>
    <w:rsid w:val="00C6442D"/>
    <w:rsid w:val="00C860C1"/>
    <w:rsid w:val="00C8701B"/>
    <w:rsid w:val="00D469B1"/>
    <w:rsid w:val="00D47CBA"/>
    <w:rsid w:val="00D86945"/>
    <w:rsid w:val="00DF4407"/>
    <w:rsid w:val="00E371B2"/>
    <w:rsid w:val="00E6259B"/>
    <w:rsid w:val="00EE2AE9"/>
    <w:rsid w:val="00EF1D84"/>
    <w:rsid w:val="00F41332"/>
    <w:rsid w:val="00F5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262"/>
    <w:pPr>
      <w:ind w:left="720"/>
      <w:contextualSpacing/>
    </w:pPr>
  </w:style>
  <w:style w:type="paragraph" w:styleId="HTML">
    <w:name w:val="HTML Preformatted"/>
    <w:basedOn w:val="a"/>
    <w:link w:val="HTML0"/>
    <w:rsid w:val="0021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17D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Hyperlink"/>
    <w:basedOn w:val="a0"/>
    <w:rsid w:val="0021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AFFC-F644-45DB-AA0B-6564FB1A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27</cp:revision>
  <cp:lastPrinted>2013-12-06T19:09:00Z</cp:lastPrinted>
  <dcterms:created xsi:type="dcterms:W3CDTF">2013-12-05T20:57:00Z</dcterms:created>
  <dcterms:modified xsi:type="dcterms:W3CDTF">2013-12-06T19:13:00Z</dcterms:modified>
</cp:coreProperties>
</file>