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66" w:rsidRPr="00A12B66" w:rsidRDefault="00A12B66" w:rsidP="00A12B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Звіт</w:t>
      </w:r>
    </w:p>
    <w:p w:rsidR="00A12B66" w:rsidRPr="00A12B66" w:rsidRDefault="00A12B66" w:rsidP="00A12B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про результати повторного відстеження регуляторного </w:t>
      </w:r>
      <w:proofErr w:type="spellStart"/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акта</w:t>
      </w:r>
      <w:proofErr w:type="spellEnd"/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 розпорядження голови Вінницької обласної державної адміністрації від 04 жовтня 2016 року №720 «Про затвердження Умов конкурсу з перевезення пасажирів на міжміських і  приміських автобусних маршрутах загального користування, що не виходять за межі території області (</w:t>
      </w:r>
      <w:proofErr w:type="spellStart"/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внутрішньообласні</w:t>
      </w:r>
      <w:proofErr w:type="spellEnd"/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 маршрути).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 виконання ст.10 Закону України «Про засади державної регуляторної  політики у сфері господарської діяльності», Департаментом житлово-комунального господарства, енергетики та інфраструктури обласної державної адміністрації здійснено повторне відстеження  результативності регуляторного </w:t>
      </w:r>
      <w:proofErr w:type="spellStart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акта</w:t>
      </w:r>
      <w:proofErr w:type="spellEnd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з метою досягнення  цим актом  визначених цілей.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1. Вид та назва регуляторного </w:t>
      </w:r>
      <w:proofErr w:type="spellStart"/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акта</w:t>
      </w:r>
      <w:proofErr w:type="spellEnd"/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, результативність якого відстежується, дата його прийняття та номер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Розпорядження голови Вінницької обласної державної адміністрації від 04 жовтня 2016 року №720 «Про затвердження Умов конкурсу з перевезення пасажирів на міжміських і  приміських автобусних маршрутах загального користування, що не виходять за межі території області (</w:t>
      </w:r>
      <w:proofErr w:type="spellStart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внутрішньообласні</w:t>
      </w:r>
      <w:proofErr w:type="spellEnd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маршрути), зареєстроване в Головному територіальному управлінні юстиції Вінницької області у Вінницькій області 10 жовтня 2016 року за №37/1289.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 2. Назва виконавця заходів з відстеження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Департамент житлово-комунального господарства, енергетики та інфраструктури обласної державної адміністрації.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3. Цілі прийняття </w:t>
      </w:r>
      <w:proofErr w:type="spellStart"/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акта</w:t>
      </w:r>
      <w:proofErr w:type="spellEnd"/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Регуляторний акт розроблено згідно законів України «Про місцеві державні адміністрації», «Про автомобільний транспорт», постанов Кабінету Міністрів України від 18 лютого 1997 року №176 «Про затвердження Правил надання послуг пасажирського автомобільного транспорту» та від 03 грудня 2008 року №1081 «Про затвердження Порядку проведення конкурсу з перевезення пасажирів на автобусному маршруті загального користування».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Основними цілями прийняття цього регуляторного акту є затвердження умов конкурсу з перевезення пасажирів на міжміських і  приміських автобусних маршрутах загального користування, які не виходять за межі території області (</w:t>
      </w:r>
      <w:proofErr w:type="spellStart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внутрішньообласні</w:t>
      </w:r>
      <w:proofErr w:type="spellEnd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маршрути), і що забезпечить залучення на прозорих умовах суб’єктів господарювання, які мають бажання та можливості до оновлення рухомого складу, створить конкурентне середовище у сфері перевезення пасажирів автомобільним транспортом, що призведе до зменшення передумов для корупційних дій та обмеження монополізму на ринку пасажирських перевезень, забезпечить задоволення потреб населення у перевезеннях, </w:t>
      </w:r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та підвищення якості і безпеки транспортних послуг</w:t>
      </w: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забезпечить  виконання державних соціальних нормативів у сфері транспортного обслуговування населення, зокрема стосовно пільгового перевезення окремих категорій громадян. Споживачі зможуть отримувати більш якісні, комфортні, безпечні послуги.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        Прийняття регуляторного акту дозволить членам конкурсного комітету об’єктивно оцінювати перевізників претендентів щодо вигляду автобусів та матеріально-технічних баз.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4. Строк виконання заходів з відстеження результативності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Листопад 2017 року.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5. Тип відстеження (базове, повторне, періодичне)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Повторне відстеження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lastRenderedPageBreak/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6. Методи одержання результатів відстеження результативності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проведення повторного відстеження використовувалася інформація місцевих органів влади, контролюючих органів, статистичні дані.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7. Дані та припущення, на основі яких відстежувалася результативність, а також способи одержання даних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Відстеження результативності регуляторного акту здійснювалося шляхом аналізу статистичної інформації про: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   кількість суб'єктів господарювання та/або фізичних осіб-підприємців, на яких поширюється дія регуляторного акту;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   розмір коштів і часу, що витрачаються суб'єктами господарювання, пов'язаними з виконанням вимог цього регуляторного акту;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  рівень поінформованості суб'єктів господарювання стосовно основних положень регуляторного акту;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   кількість укладених та розірваних договорів з пасажирськими автоперевізниками;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  кількість автобусів, залучених для перевезення пасажирів на міжміських і  приміських автобусних маршрутах загального користування, що не виходять за межі території області (</w:t>
      </w:r>
      <w:proofErr w:type="spellStart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внутрішньообласні</w:t>
      </w:r>
      <w:proofErr w:type="spellEnd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маршрути);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   кількість ДТП з вини водіїв суб’єктів господарювання пасажирських перевезень з постраждалими;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   обсяг перевезення пасажирів на пасажирському автотранспорті;  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8. Кількісні та якісні значення показників результативності </w:t>
      </w:r>
      <w:proofErr w:type="spellStart"/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акта</w:t>
      </w:r>
      <w:proofErr w:type="spellEnd"/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 дію регуляторного акту підпадають 434 міжміських і  приміських автобусних маршрутів  загального користування, що не виходять за межі території області (</w:t>
      </w:r>
      <w:proofErr w:type="spellStart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внутрішньообласні</w:t>
      </w:r>
      <w:proofErr w:type="spellEnd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маршрути) та 108 приміських внутрішньорайонних маршрутів;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Внаслідок впровадження даного регуляторного акту отримані такі значення показників результативності: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1424"/>
        <w:gridCol w:w="1593"/>
        <w:gridCol w:w="1803"/>
      </w:tblGrid>
      <w:tr w:rsidR="00A12B66" w:rsidRPr="00A12B66" w:rsidTr="00A12B66">
        <w:tc>
          <w:tcPr>
            <w:tcW w:w="496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Показники</w:t>
            </w:r>
          </w:p>
        </w:tc>
        <w:tc>
          <w:tcPr>
            <w:tcW w:w="144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Одиниця виміру</w:t>
            </w:r>
          </w:p>
        </w:tc>
        <w:tc>
          <w:tcPr>
            <w:tcW w:w="162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2016 рік</w:t>
            </w:r>
          </w:p>
        </w:tc>
        <w:tc>
          <w:tcPr>
            <w:tcW w:w="183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2017 рік</w:t>
            </w:r>
          </w:p>
        </w:tc>
      </w:tr>
      <w:tr w:rsidR="00A12B66" w:rsidRPr="00A12B66" w:rsidTr="00A12B66">
        <w:tc>
          <w:tcPr>
            <w:tcW w:w="496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- кількість суб'єктів господарювання та/або фізичних осіб-підприємців, які здійснюють перевезення пасажирів і на яких поширюється дія регуляторного акту;</w:t>
            </w:r>
          </w:p>
        </w:tc>
        <w:tc>
          <w:tcPr>
            <w:tcW w:w="144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один.</w:t>
            </w:r>
          </w:p>
        </w:tc>
        <w:tc>
          <w:tcPr>
            <w:tcW w:w="162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157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(станом на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01.11.2016)</w:t>
            </w:r>
          </w:p>
        </w:tc>
        <w:tc>
          <w:tcPr>
            <w:tcW w:w="183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167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(станом на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01.11.2017)</w:t>
            </w:r>
          </w:p>
        </w:tc>
      </w:tr>
      <w:tr w:rsidR="00A12B66" w:rsidRPr="00A12B66" w:rsidTr="00A12B66">
        <w:tc>
          <w:tcPr>
            <w:tcW w:w="496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- розмір коштів і часу, що витрачає суб'єкт господарювання, пов'язаними з виконанням вимог цього регуляторного акту;</w:t>
            </w:r>
          </w:p>
        </w:tc>
        <w:tc>
          <w:tcPr>
            <w:tcW w:w="144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тис.грн</w:t>
            </w:r>
            <w:proofErr w:type="spellEnd"/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/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год</w:t>
            </w:r>
          </w:p>
        </w:tc>
        <w:tc>
          <w:tcPr>
            <w:tcW w:w="162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0,9-1,3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83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4,2-4,7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4</w:t>
            </w:r>
          </w:p>
        </w:tc>
      </w:tr>
      <w:tr w:rsidR="00A12B66" w:rsidRPr="00A12B66" w:rsidTr="00A12B66">
        <w:tc>
          <w:tcPr>
            <w:tcW w:w="496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- рівень поінформованості суб'єктів господарювання стосовно основних положень регуляторного акту;</w:t>
            </w:r>
          </w:p>
        </w:tc>
        <w:tc>
          <w:tcPr>
            <w:tcW w:w="144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%</w:t>
            </w:r>
          </w:p>
        </w:tc>
        <w:tc>
          <w:tcPr>
            <w:tcW w:w="162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100</w:t>
            </w:r>
          </w:p>
        </w:tc>
        <w:tc>
          <w:tcPr>
            <w:tcW w:w="183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100</w:t>
            </w:r>
          </w:p>
        </w:tc>
      </w:tr>
      <w:tr w:rsidR="00A12B66" w:rsidRPr="00A12B66" w:rsidTr="00A12B66">
        <w:tc>
          <w:tcPr>
            <w:tcW w:w="496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- кількість укладених/розірваних договорів з пасажирськими автоперевізниками;</w:t>
            </w:r>
          </w:p>
        </w:tc>
        <w:tc>
          <w:tcPr>
            <w:tcW w:w="144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один.</w:t>
            </w:r>
          </w:p>
        </w:tc>
        <w:tc>
          <w:tcPr>
            <w:tcW w:w="162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132/3</w:t>
            </w:r>
          </w:p>
        </w:tc>
        <w:tc>
          <w:tcPr>
            <w:tcW w:w="183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56(всі з GPS)/27</w:t>
            </w:r>
          </w:p>
        </w:tc>
      </w:tr>
      <w:tr w:rsidR="00A12B66" w:rsidRPr="00A12B66" w:rsidTr="00A12B66">
        <w:tc>
          <w:tcPr>
            <w:tcW w:w="496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-  кількість автобусів, залучених для перевезення пасажирів на міжміських і  приміських автобусних маршрутах загального користування, що не виходять за межі території області (</w:t>
            </w:r>
            <w:proofErr w:type="spellStart"/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внутрішньообласні</w:t>
            </w:r>
            <w:proofErr w:type="spellEnd"/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маршрути);</w:t>
            </w:r>
          </w:p>
        </w:tc>
        <w:tc>
          <w:tcPr>
            <w:tcW w:w="144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один.</w:t>
            </w:r>
          </w:p>
        </w:tc>
        <w:tc>
          <w:tcPr>
            <w:tcW w:w="162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1550</w:t>
            </w:r>
          </w:p>
        </w:tc>
        <w:tc>
          <w:tcPr>
            <w:tcW w:w="183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1560</w:t>
            </w:r>
          </w:p>
        </w:tc>
      </w:tr>
      <w:tr w:rsidR="00A12B66" w:rsidRPr="00A12B66" w:rsidTr="00A12B66">
        <w:tc>
          <w:tcPr>
            <w:tcW w:w="496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- кількість ДТП з вини водіїв суб’єктів господарювання пасажирських перевезень з постраждалими (</w:t>
            </w:r>
            <w:proofErr w:type="spellStart"/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загибли</w:t>
            </w:r>
            <w:proofErr w:type="spellEnd"/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/травмованих);</w:t>
            </w:r>
          </w:p>
        </w:tc>
        <w:tc>
          <w:tcPr>
            <w:tcW w:w="144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один.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один./один.</w:t>
            </w:r>
          </w:p>
        </w:tc>
        <w:tc>
          <w:tcPr>
            <w:tcW w:w="162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0/6</w:t>
            </w:r>
          </w:p>
        </w:tc>
        <w:tc>
          <w:tcPr>
            <w:tcW w:w="183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7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</w:p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1/11 (на транспортних засобах відсутні GPS)</w:t>
            </w:r>
          </w:p>
        </w:tc>
      </w:tr>
      <w:tr w:rsidR="00A12B66" w:rsidRPr="00A12B66" w:rsidTr="00A12B66">
        <w:tc>
          <w:tcPr>
            <w:tcW w:w="4965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- обсяг перевезення пасажирів на пасажирському автотранспорті;</w:t>
            </w:r>
          </w:p>
        </w:tc>
        <w:tc>
          <w:tcPr>
            <w:tcW w:w="144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тис.чол</w:t>
            </w:r>
            <w:proofErr w:type="spellEnd"/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62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68080,4</w:t>
            </w:r>
          </w:p>
        </w:tc>
        <w:tc>
          <w:tcPr>
            <w:tcW w:w="1830" w:type="dxa"/>
            <w:tcBorders>
              <w:top w:val="outset" w:sz="6" w:space="0" w:color="D2D2D2"/>
              <w:left w:val="outset" w:sz="6" w:space="0" w:color="D2D2D2"/>
              <w:bottom w:val="outset" w:sz="6" w:space="0" w:color="D2D2D2"/>
              <w:right w:val="outset" w:sz="6" w:space="0" w:color="D2D2D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B66" w:rsidRPr="00A12B66" w:rsidRDefault="00A12B66" w:rsidP="00A12B6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12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67195,4</w:t>
            </w:r>
          </w:p>
        </w:tc>
      </w:tr>
    </w:tbl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 отриманих показників, хоча вони не носять позитивного характеру і на це вплинула економічна ситуація, проте можна зробити і позитивний висновок - транспортні засоби на яких було застосовані GPS-прилади не були зафіксовані у ДТП. Це свідчить про підвищення дисципліни перевізників з виконання договірних умов, зокрема дотримання схеми маршруту, розкладу руху та дотримання швидкісного режиму на маршруті, що призвело до підвищення якості і безпеки транспортних послуг.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9. Оцінка результатів реалізації регуляторного </w:t>
      </w:r>
      <w:proofErr w:type="spellStart"/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>акта</w:t>
      </w:r>
      <w:proofErr w:type="spellEnd"/>
      <w:r w:rsidRPr="00A12B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uk-UA"/>
        </w:rPr>
        <w:t xml:space="preserve"> та ступеня досягнення визначених цілей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Умовами конкурсу встановлено чіткий та прозорий механізм визначення переможців конкурсу щодо здійснення пасажирських перевезень на внутрішньо обласних маршрутах. Завдяки введенню в дію даного регуляторного акту підвищилась інформованість суб’єктів підприємницької діяльності , встановлено чіткі умови, підвищилась прогнозованість. Забезпечено баланс інтересів органів виконавчої влади (ОДА), споживачів послуг з перевезення пасажирів на </w:t>
      </w:r>
      <w:proofErr w:type="spellStart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внутрішньообласних</w:t>
      </w:r>
      <w:proofErr w:type="spellEnd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маршрутах (пасажирів області) та суб’єктів господарювання, які надають послуги з перевезення пасажирів (автоперевізники), а саме для органів виконавчої влади - позитивний імідж влади щодо впорядкування пасажирських перевезень, шляхом встановлення GPS – приладів встановлених на транспортних засобах перевізника та фото автобусів, фото матеріально-технічної бази дотримання перевізниками розкладів руху, схем маршрутів, показників якості перевезень, а для суб’єктів господарювання, на яких поширюватиметься дія </w:t>
      </w:r>
      <w:proofErr w:type="spellStart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акта</w:t>
      </w:r>
      <w:proofErr w:type="spellEnd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– забезпечено прозорість та зрозумілість механізму проведення умов конкурсу.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 момент проведення повторного відстеження, за Умовами регуляторного акту проведено 4 конкурси на перевезення пасажирів на 70 </w:t>
      </w:r>
      <w:proofErr w:type="spellStart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обєктах</w:t>
      </w:r>
      <w:proofErr w:type="spellEnd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внутрішньообласних</w:t>
      </w:r>
      <w:proofErr w:type="spellEnd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маршрутах.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 як висновок,  прийняття регуляторного акту дало можливість: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       забезпечити дотримання прав і законних інтересів суб’єктів господарювання при участі у конкурсі з перевезення пасажирів на міжміських і приміських автобусних маршрутах загального користування, що не виходять за межі території області (</w:t>
      </w:r>
      <w:proofErr w:type="spellStart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внутрішньообласні</w:t>
      </w:r>
      <w:proofErr w:type="spellEnd"/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маршрути);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-        підвищило дисципліну перевізників з виконання договірних умов, зокрема дотримання схеми маршруту, розкладу руху та дотримання швидкісного режиму на маршруті, що призвело до підвищення якості і безпеки транспортних послуг. Жодний транспортний засіб, який обладнаний GPS-приладом не був зафіксований у ДТП.</w:t>
      </w:r>
    </w:p>
    <w:p w:rsid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        Зважаючи на викладене дія регуляторного акту є ефективною.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          </w:t>
      </w:r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Директор Департаменту житлово –</w:t>
      </w:r>
    </w:p>
    <w:p w:rsidR="00A12B66" w:rsidRPr="00A12B66" w:rsidRDefault="00A12B66" w:rsidP="00A12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комунального господарства, енергетики</w:t>
      </w:r>
    </w:p>
    <w:p w:rsidR="00DE2086" w:rsidRDefault="00A12B66" w:rsidP="00A12B66">
      <w:pPr>
        <w:shd w:val="clear" w:color="auto" w:fill="FFFFFF"/>
        <w:spacing w:after="150" w:line="240" w:lineRule="auto"/>
      </w:pPr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та інфраструктури облдержадміністрації            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ab/>
      </w:r>
      <w:r w:rsidRPr="00A12B6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Сергій ВОЛКОВ</w:t>
      </w:r>
      <w:bookmarkStart w:id="0" w:name="_GoBack"/>
      <w:bookmarkEnd w:id="0"/>
    </w:p>
    <w:sectPr w:rsidR="00DE2086" w:rsidSect="00A12B6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4C"/>
    <w:rsid w:val="003D1C4C"/>
    <w:rsid w:val="00A12B66"/>
    <w:rsid w:val="00D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DACE"/>
  <w15:chartTrackingRefBased/>
  <w15:docId w15:val="{DB98A9F1-9FBE-434C-90C2-0E4B7C12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2B66"/>
    <w:rPr>
      <w:b/>
      <w:bCs/>
    </w:rPr>
  </w:style>
  <w:style w:type="character" w:styleId="a5">
    <w:name w:val="Emphasis"/>
    <w:basedOn w:val="a0"/>
    <w:uiPriority w:val="20"/>
    <w:qFormat/>
    <w:rsid w:val="00A12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5415</Words>
  <Characters>3088</Characters>
  <Application>Microsoft Office Word</Application>
  <DocSecurity>0</DocSecurity>
  <Lines>25</Lines>
  <Paragraphs>16</Paragraphs>
  <ScaleCrop>false</ScaleCrop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Франчук Галина Іванівна</dc:creator>
  <cp:keywords/>
  <dc:description/>
  <cp:lastModifiedBy>Франчук Галина Іванівна</cp:lastModifiedBy>
  <cp:revision>2</cp:revision>
  <dcterms:created xsi:type="dcterms:W3CDTF">2018-01-15T08:02:00Z</dcterms:created>
  <dcterms:modified xsi:type="dcterms:W3CDTF">2018-01-15T08:03:00Z</dcterms:modified>
</cp:coreProperties>
</file>