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3D" w:rsidRDefault="00F13A3D" w:rsidP="002D1625">
      <w:pPr>
        <w:jc w:val="center"/>
        <w:rPr>
          <w:b/>
        </w:rPr>
      </w:pPr>
    </w:p>
    <w:p w:rsidR="00916D05" w:rsidRDefault="00916D05" w:rsidP="002D1625">
      <w:pPr>
        <w:jc w:val="center"/>
        <w:rPr>
          <w:b/>
        </w:rPr>
      </w:pPr>
    </w:p>
    <w:p w:rsidR="009543EB" w:rsidRPr="00514059" w:rsidRDefault="009543EB" w:rsidP="002D1625">
      <w:pPr>
        <w:jc w:val="center"/>
        <w:rPr>
          <w:b/>
        </w:rPr>
      </w:pPr>
      <w:r w:rsidRPr="00514059">
        <w:rPr>
          <w:b/>
        </w:rPr>
        <w:t>АНАЛІТИЧНА ДОВІДКА ЗА СІЧЕНЬ-</w:t>
      </w:r>
      <w:r w:rsidR="00AA645C">
        <w:rPr>
          <w:b/>
        </w:rPr>
        <w:t>ЛИСТОПАД</w:t>
      </w:r>
      <w:r w:rsidR="005B7BBA">
        <w:rPr>
          <w:b/>
        </w:rPr>
        <w:t xml:space="preserve"> </w:t>
      </w:r>
      <w:r w:rsidRPr="00514059">
        <w:rPr>
          <w:b/>
        </w:rPr>
        <w:t>2017</w:t>
      </w:r>
      <w:r w:rsidR="005B7BBA">
        <w:rPr>
          <w:b/>
        </w:rPr>
        <w:t xml:space="preserve"> </w:t>
      </w:r>
      <w:bookmarkStart w:id="0" w:name="_GoBack"/>
      <w:bookmarkEnd w:id="0"/>
      <w:r w:rsidRPr="00514059">
        <w:rPr>
          <w:b/>
        </w:rPr>
        <w:t>РОКУ</w:t>
      </w:r>
    </w:p>
    <w:p w:rsidR="009543EB" w:rsidRPr="00514059" w:rsidRDefault="009543EB" w:rsidP="002D1625">
      <w:pPr>
        <w:jc w:val="center"/>
        <w:rPr>
          <w:b/>
        </w:rPr>
      </w:pPr>
      <w:r w:rsidRPr="00514059">
        <w:rPr>
          <w:b/>
        </w:rPr>
        <w:t>ЩОДО СОЦІАЛЬНО-ЕКОНОМІЧНОГО РОЗВИТКУ ВІННИЦЬКОЇ ОБЛАСТІ</w:t>
      </w:r>
    </w:p>
    <w:p w:rsidR="009543EB" w:rsidRPr="00514059" w:rsidRDefault="009543EB" w:rsidP="002D1625">
      <w:pPr>
        <w:jc w:val="center"/>
        <w:rPr>
          <w:b/>
          <w:sz w:val="12"/>
        </w:rPr>
      </w:pPr>
    </w:p>
    <w:p w:rsidR="009543EB" w:rsidRDefault="009543EB" w:rsidP="002D1625">
      <w:pPr>
        <w:jc w:val="center"/>
        <w:rPr>
          <w:b/>
        </w:rPr>
      </w:pPr>
      <w:r w:rsidRPr="00F80201">
        <w:rPr>
          <w:b/>
        </w:rPr>
        <w:t>ПРОМИСЛОВЕ ВИРОБНИЦТВО</w:t>
      </w:r>
    </w:p>
    <w:p w:rsidR="00F13A3D" w:rsidRPr="00F80201" w:rsidRDefault="00F13A3D" w:rsidP="002D1625">
      <w:pPr>
        <w:jc w:val="center"/>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072"/>
      </w:tblGrid>
      <w:tr w:rsidR="009543EB" w:rsidRPr="00514059" w:rsidTr="001C7DB1">
        <w:trPr>
          <w:trHeight w:val="416"/>
        </w:trPr>
        <w:tc>
          <w:tcPr>
            <w:tcW w:w="1418" w:type="dxa"/>
          </w:tcPr>
          <w:p w:rsidR="009543EB" w:rsidRPr="00F80201" w:rsidRDefault="009543EB" w:rsidP="002D1625">
            <w:pPr>
              <w:jc w:val="both"/>
              <w:rPr>
                <w:b/>
                <w:i/>
              </w:rPr>
            </w:pPr>
            <w:r w:rsidRPr="00F80201">
              <w:rPr>
                <w:b/>
                <w:i/>
              </w:rPr>
              <w:t>Аналіз роботи галузей промисловості</w:t>
            </w:r>
          </w:p>
          <w:p w:rsidR="009543EB" w:rsidRPr="00514059" w:rsidRDefault="009543EB" w:rsidP="002D1625">
            <w:pPr>
              <w:jc w:val="both"/>
              <w:rPr>
                <w:highlight w:val="yellow"/>
              </w:rPr>
            </w:pPr>
          </w:p>
        </w:tc>
        <w:tc>
          <w:tcPr>
            <w:tcW w:w="9072" w:type="dxa"/>
            <w:vAlign w:val="center"/>
          </w:tcPr>
          <w:p w:rsidR="00AA645C" w:rsidRPr="000D6B14" w:rsidRDefault="00AA645C" w:rsidP="00EF17D0">
            <w:pPr>
              <w:ind w:firstLine="317"/>
              <w:jc w:val="both"/>
              <w:rPr>
                <w:bCs/>
                <w:iCs/>
              </w:rPr>
            </w:pPr>
            <w:r w:rsidRPr="000D6B14">
              <w:rPr>
                <w:bCs/>
                <w:iCs/>
              </w:rPr>
              <w:t xml:space="preserve">За інформацією Головного управління статистики у Вінницькій області у січні – листопаді 2017 року виробництво промислової продукції збільшилось на 8,8% проти відповідного періоду 2016 року. </w:t>
            </w:r>
          </w:p>
          <w:p w:rsidR="00AA645C" w:rsidRPr="000D6B14" w:rsidRDefault="00AA645C" w:rsidP="00EF17D0">
            <w:pPr>
              <w:ind w:firstLine="317"/>
              <w:jc w:val="both"/>
              <w:rPr>
                <w:bCs/>
                <w:iCs/>
              </w:rPr>
            </w:pPr>
            <w:r w:rsidRPr="000D6B14">
              <w:rPr>
                <w:bCs/>
                <w:iCs/>
              </w:rPr>
              <w:t xml:space="preserve">За індексом промислового виробництва серед регіонів України Вінницька область знаходиться на 4 місці (по Україні індекс промислового виробництва становить 99,9%). </w:t>
            </w:r>
          </w:p>
          <w:p w:rsidR="00AA645C" w:rsidRPr="000D6B14" w:rsidRDefault="00AA645C" w:rsidP="00EF17D0">
            <w:pPr>
              <w:ind w:firstLine="317"/>
              <w:jc w:val="both"/>
              <w:rPr>
                <w:bCs/>
                <w:iCs/>
              </w:rPr>
            </w:pPr>
            <w:r w:rsidRPr="000D6B14">
              <w:rPr>
                <w:bCs/>
                <w:iCs/>
              </w:rPr>
              <w:t>У переробній промисловості спостерігається зростання промислового виробництва на 6,6 % (за рахунок збільшення обсягів у машинобудуванні на 27,6%, у виробництві харчових продуктів, напоїв та тютюнових виробів – на 3,7%, у виробництві продукції металообробки – на 13,7%, у легкій промисловості – на 7,8%, у виготовленні виробів деревообробної та поліграфічної галузей – на 10,5%, у виробництві основних фармацевтичних продуктів і фармацевтичних препаратів – на 35,9%).</w:t>
            </w:r>
          </w:p>
          <w:p w:rsidR="00AA645C" w:rsidRPr="000D6B14" w:rsidRDefault="00AA645C" w:rsidP="00EF17D0">
            <w:pPr>
              <w:ind w:firstLine="317"/>
              <w:jc w:val="both"/>
              <w:rPr>
                <w:bCs/>
                <w:iCs/>
              </w:rPr>
            </w:pPr>
            <w:r w:rsidRPr="000D6B14">
              <w:rPr>
                <w:bCs/>
                <w:iCs/>
              </w:rPr>
              <w:t xml:space="preserve">У добувній промисловості і розробленні кар’єрів порівняно з відповідним періодом 2016 року скорочено відставання на 4,7 в. п., хоча і не досягнуто минулорічного рівня обсягів промислового виробництва на 21,7%. </w:t>
            </w:r>
          </w:p>
          <w:p w:rsidR="00AA645C" w:rsidRPr="000D6B14" w:rsidRDefault="00AA645C" w:rsidP="00EF17D0">
            <w:pPr>
              <w:tabs>
                <w:tab w:val="left" w:pos="0"/>
              </w:tabs>
              <w:ind w:firstLine="317"/>
              <w:jc w:val="both"/>
              <w:rPr>
                <w:bCs/>
                <w:iCs/>
              </w:rPr>
            </w:pPr>
            <w:r w:rsidRPr="000D6B14">
              <w:rPr>
                <w:bCs/>
                <w:iCs/>
              </w:rPr>
              <w:t>Відбувається збільшення обсягів постачання електроенергії, газу, пари та кондиційованого повітря у порівнянні з січнем-листопадом 2016 року на 22,1%.</w:t>
            </w:r>
          </w:p>
          <w:p w:rsidR="00EF17D0" w:rsidRPr="000D6B14" w:rsidRDefault="00EF17D0" w:rsidP="00EF17D0">
            <w:pPr>
              <w:tabs>
                <w:tab w:val="left" w:pos="0"/>
              </w:tabs>
              <w:ind w:firstLine="317"/>
              <w:jc w:val="both"/>
            </w:pPr>
            <w:r w:rsidRPr="000D6B14">
              <w:t>У добувній промисловості і розробленні кар’єрів обсяги виробництва у зрівнянні проти листопада відповідного періоду минулого року збільшились на 30,9% . Однак, за звітний період все ж не досягнуто рівня січня-листопада 2016 року на 21,7%, хоча і скорочено відставання на 4,7 в. п.</w:t>
            </w:r>
          </w:p>
          <w:p w:rsidR="00EF17D0" w:rsidRPr="000D6B14" w:rsidRDefault="00EF17D0" w:rsidP="00EF17D0">
            <w:pPr>
              <w:tabs>
                <w:tab w:val="left" w:pos="0"/>
              </w:tabs>
              <w:ind w:firstLine="317"/>
              <w:jc w:val="both"/>
            </w:pPr>
            <w:r w:rsidRPr="000D6B14">
              <w:t>Добувними підприємствами області реалізовано промислової продукції (товарів, послуг) на суму 1,</w:t>
            </w:r>
            <w:r w:rsidRPr="000D6B14">
              <w:rPr>
                <w:lang w:val="ru-RU"/>
              </w:rPr>
              <w:t>1</w:t>
            </w:r>
            <w:r w:rsidRPr="000D6B14">
              <w:t xml:space="preserve"> млрд. грн.</w:t>
            </w:r>
          </w:p>
          <w:p w:rsidR="00EF17D0" w:rsidRPr="000D6B14" w:rsidRDefault="00EF17D0" w:rsidP="00EF17D0">
            <w:pPr>
              <w:tabs>
                <w:tab w:val="left" w:pos="0"/>
              </w:tabs>
              <w:ind w:firstLine="317"/>
              <w:jc w:val="both"/>
            </w:pPr>
            <w:r w:rsidRPr="000D6B14">
              <w:t>На підприємствах з виробництва харчових продуктів, напоїв індекс промислової продукції січня-листопада 2017 року до відповідного періоду попереднього року становив 103,7%. Проти січня-жовтня 2017 року уповільнився темп зростання на 0,7 в.п.</w:t>
            </w:r>
          </w:p>
          <w:p w:rsidR="00EF17D0" w:rsidRPr="000D6B14" w:rsidRDefault="00EF17D0" w:rsidP="00EF17D0">
            <w:pPr>
              <w:ind w:firstLine="317"/>
              <w:jc w:val="both"/>
            </w:pPr>
            <w:r w:rsidRPr="000D6B14">
              <w:t>Питома вага галузі в обсязі реалізованої продукції області за січень-жовтень 2017 року склала 64,1%, реалізовано продукції на суму 34,5 млрд. грн.</w:t>
            </w:r>
          </w:p>
          <w:p w:rsidR="00EF17D0" w:rsidRPr="000D6B14" w:rsidRDefault="00EF17D0" w:rsidP="00EF17D0">
            <w:pPr>
              <w:tabs>
                <w:tab w:val="left" w:pos="0"/>
              </w:tabs>
              <w:ind w:firstLine="317"/>
              <w:jc w:val="both"/>
            </w:pPr>
            <w:r w:rsidRPr="000D6B14">
              <w:t>На підприємствах легкої галузі, питома вага якої в загальнообласному показнику реалізації продукції за січень-жовтень 2017 року (далі: питома вага) складає 0,5%, обсяги виробництва продукції перевищили рівень січня-листопада 2016 року на 7,8%. Зростання проти жовтня 201</w:t>
            </w:r>
            <w:r w:rsidRPr="000D6B14">
              <w:rPr>
                <w:lang w:val="ru-RU"/>
              </w:rPr>
              <w:t>7</w:t>
            </w:r>
            <w:r w:rsidRPr="000D6B14">
              <w:t xml:space="preserve"> року становило </w:t>
            </w:r>
            <w:r w:rsidRPr="000D6B14">
              <w:rPr>
                <w:lang w:val="ru-RU"/>
              </w:rPr>
              <w:t>195.4</w:t>
            </w:r>
            <w:r w:rsidRPr="000D6B14">
              <w:t>%, а проти листопада минулого року – 111,4%.</w:t>
            </w:r>
          </w:p>
          <w:p w:rsidR="00EF17D0" w:rsidRPr="000D6B14" w:rsidRDefault="00EF17D0" w:rsidP="00EF17D0">
            <w:pPr>
              <w:tabs>
                <w:tab w:val="left" w:pos="0"/>
              </w:tabs>
              <w:ind w:firstLine="317"/>
              <w:jc w:val="both"/>
            </w:pPr>
            <w:r w:rsidRPr="000D6B14">
              <w:t>За січень-жовтень 2017 року реалізовано продукції на суму 250,1 млн. грн.</w:t>
            </w:r>
          </w:p>
          <w:p w:rsidR="00EF17D0" w:rsidRPr="000D6B14" w:rsidRDefault="00EF17D0" w:rsidP="00EF17D0">
            <w:pPr>
              <w:tabs>
                <w:tab w:val="left" w:pos="0"/>
              </w:tabs>
              <w:ind w:firstLine="317"/>
              <w:jc w:val="both"/>
            </w:pPr>
            <w:r w:rsidRPr="000D6B14">
              <w:t>На підприємствах деревообробної галузі та поліграфічної діяльності (питома вага 3,7%) обсяги виробництва січня-листопада 2017 року перевищили рівень відповідного періоду попереднього року на 10,5%. Зростання проти січня-жовтня 2017 року уповільнилось на 5,1 в. п.</w:t>
            </w:r>
          </w:p>
          <w:p w:rsidR="00EF17D0" w:rsidRPr="000D6B14" w:rsidRDefault="00EF17D0" w:rsidP="00EF17D0">
            <w:pPr>
              <w:tabs>
                <w:tab w:val="left" w:pos="0"/>
              </w:tabs>
              <w:ind w:firstLine="317"/>
              <w:jc w:val="both"/>
            </w:pPr>
            <w:r w:rsidRPr="000D6B14">
              <w:t>Підприємствами деревообробної та поліграфічної промисловості у січні-жовтні 2017 року реалізовано продукції на 2,02 млрд. грн.</w:t>
            </w:r>
          </w:p>
          <w:p w:rsidR="00EF17D0" w:rsidRPr="000D6B14" w:rsidRDefault="00EF17D0" w:rsidP="00EF17D0">
            <w:pPr>
              <w:tabs>
                <w:tab w:val="left" w:pos="0"/>
              </w:tabs>
              <w:ind w:firstLine="317"/>
              <w:jc w:val="both"/>
            </w:pPr>
            <w:r w:rsidRPr="000D6B14">
              <w:t>У виробництві хімічних речовин і хімічної продукції (питома вага 2,9%) виробництво продукції січня–листопада 2017 року збільшилось на 1,8 в. п. проти січня-листопада 2016 року, однак не досягло показників відповідного періоду минулого року на 14,8%.</w:t>
            </w:r>
          </w:p>
          <w:p w:rsidR="00EF17D0" w:rsidRPr="000D6B14" w:rsidRDefault="00EF17D0" w:rsidP="00EF17D0">
            <w:pPr>
              <w:tabs>
                <w:tab w:val="left" w:pos="0"/>
              </w:tabs>
              <w:ind w:firstLine="317"/>
              <w:jc w:val="both"/>
            </w:pPr>
            <w:r w:rsidRPr="000D6B14">
              <w:t xml:space="preserve">У січні-жовтні 2017 року реалізовано продукції на суму 1,56 млрд. грн. </w:t>
            </w:r>
          </w:p>
          <w:p w:rsidR="00EF17D0" w:rsidRPr="000D6B14" w:rsidRDefault="00EF17D0" w:rsidP="00EF17D0">
            <w:pPr>
              <w:tabs>
                <w:tab w:val="left" w:pos="0"/>
              </w:tabs>
              <w:ind w:firstLine="317"/>
              <w:jc w:val="both"/>
            </w:pPr>
            <w:r w:rsidRPr="000D6B14">
              <w:t>На підприємствах з виробництва основних фармацевтичних продуктів і фармацевтичних препаратів (питома вага 0,9%) відбулось зростання обсягів виробництва у січні-листопаді 2017 року проти минулорічного періоду на 35,9%.</w:t>
            </w:r>
          </w:p>
          <w:p w:rsidR="00EF17D0" w:rsidRPr="000D6B14" w:rsidRDefault="00EF17D0" w:rsidP="00EF17D0">
            <w:pPr>
              <w:tabs>
                <w:tab w:val="left" w:pos="0"/>
              </w:tabs>
              <w:ind w:firstLine="317"/>
              <w:jc w:val="both"/>
            </w:pPr>
            <w:r w:rsidRPr="000D6B14">
              <w:lastRenderedPageBreak/>
              <w:t>Підприємствами галузі за січень-жовтень 2017 року реалізовано продукції на суму 495,9 млн. грн.</w:t>
            </w:r>
          </w:p>
          <w:p w:rsidR="00EF17D0" w:rsidRPr="000D6B14" w:rsidRDefault="00EF17D0" w:rsidP="00EF17D0">
            <w:pPr>
              <w:tabs>
                <w:tab w:val="left" w:pos="0"/>
              </w:tabs>
              <w:ind w:firstLine="317"/>
              <w:jc w:val="both"/>
            </w:pPr>
            <w:r w:rsidRPr="000D6B14">
              <w:t>На підприємствах з виробництва продукції для будівельної галузі у січні-листопаді 2017 року обсяги виробництва в порівнянні з відповідним періодом 2016 року знижено на 4,5%, хоча відставання від минулорічного відповідного періоду і скоротилось на 1,1 в. п.</w:t>
            </w:r>
          </w:p>
          <w:p w:rsidR="00EF17D0" w:rsidRPr="000D6B14" w:rsidRDefault="00EF17D0" w:rsidP="00EF17D0">
            <w:pPr>
              <w:tabs>
                <w:tab w:val="left" w:pos="0"/>
              </w:tabs>
              <w:ind w:firstLine="317"/>
              <w:jc w:val="both"/>
            </w:pPr>
            <w:r w:rsidRPr="000D6B14">
              <w:t>Підприємствами галузі за січень-листопад 2017 року реалізовано продукції на суму 1,12 млрд. грн..</w:t>
            </w:r>
          </w:p>
          <w:p w:rsidR="00EF17D0" w:rsidRPr="000D6B14" w:rsidRDefault="00EF17D0" w:rsidP="00EF17D0">
            <w:pPr>
              <w:tabs>
                <w:tab w:val="left" w:pos="0"/>
              </w:tabs>
              <w:ind w:firstLine="317"/>
              <w:jc w:val="both"/>
            </w:pPr>
            <w:r w:rsidRPr="000D6B14">
              <w:t>Обсяги продукції металообробних підприємств у січні-листопаді 2017 року проти відповідного періоду 2016 року перевищено обсяги виробництва продукції на 13,7%, а проти листопада 2016 року – на 19,2%.</w:t>
            </w:r>
          </w:p>
          <w:p w:rsidR="00EF17D0" w:rsidRPr="000D6B14" w:rsidRDefault="00EF17D0" w:rsidP="00EF17D0">
            <w:pPr>
              <w:tabs>
                <w:tab w:val="left" w:pos="0"/>
              </w:tabs>
              <w:ind w:firstLine="317"/>
              <w:jc w:val="both"/>
            </w:pPr>
            <w:r w:rsidRPr="000D6B14">
              <w:t>Питома вага галузі в обсязі реалізованої продукції області за січень-жовтень 2017 року склала 2,0%, реалізовано продукції на суму 1,09 млрд. грн.</w:t>
            </w:r>
          </w:p>
          <w:p w:rsidR="00EF17D0" w:rsidRPr="000D6B14" w:rsidRDefault="00EF17D0" w:rsidP="00EF17D0">
            <w:pPr>
              <w:tabs>
                <w:tab w:val="left" w:pos="0"/>
              </w:tabs>
              <w:ind w:firstLine="317"/>
              <w:jc w:val="both"/>
            </w:pPr>
            <w:r w:rsidRPr="000D6B14">
              <w:t>На машинобудівних підприємствах за період січня-листопада 2017 року обсяги виробництва продукції зросли на 27,6 %, а проти минулорічного листопада – на 49,8 %.</w:t>
            </w:r>
          </w:p>
          <w:p w:rsidR="00EF17D0" w:rsidRPr="000D6B14" w:rsidRDefault="00EF17D0" w:rsidP="00EF17D0">
            <w:pPr>
              <w:tabs>
                <w:tab w:val="left" w:pos="0"/>
              </w:tabs>
              <w:ind w:firstLine="317"/>
              <w:jc w:val="both"/>
            </w:pPr>
            <w:r w:rsidRPr="000D6B14">
              <w:t>Питома вага галузі складає 2,3%, підприємствами реалізовано продукції у січні-жовтні 2017 року на суму 1,26 млрд. грн.</w:t>
            </w:r>
          </w:p>
          <w:p w:rsidR="00EF17D0" w:rsidRPr="000D6B14" w:rsidRDefault="00EF17D0" w:rsidP="00EF17D0">
            <w:pPr>
              <w:tabs>
                <w:tab w:val="left" w:pos="0"/>
              </w:tabs>
              <w:ind w:firstLine="317"/>
              <w:jc w:val="both"/>
            </w:pPr>
            <w:r w:rsidRPr="000D6B14">
              <w:t>На підприємствах з постачання електроенергії, газу, пари та кондиційованого повітря обсяги виробництва у січні-листопаді 2017 року збільшено на 22,1 %. Зростання проти січня-жовтня 2017 року пришвидшилось на 0,2 в. п.</w:t>
            </w:r>
          </w:p>
          <w:p w:rsidR="00EF17D0" w:rsidRPr="000D6B14" w:rsidRDefault="00EF17D0" w:rsidP="00EF17D0">
            <w:pPr>
              <w:tabs>
                <w:tab w:val="left" w:pos="0"/>
              </w:tabs>
              <w:ind w:firstLine="317"/>
              <w:jc w:val="both"/>
            </w:pPr>
            <w:r w:rsidRPr="000D6B14">
              <w:t>Питома вага галузі складає 18,3%, обсяг реалізованої продукції у січні-жовтні 2017 року становить 9,8 млрд. грн.</w:t>
            </w:r>
          </w:p>
          <w:p w:rsidR="009543EB" w:rsidRPr="00EF17D0" w:rsidRDefault="00EF17D0" w:rsidP="00EF17D0">
            <w:pPr>
              <w:tabs>
                <w:tab w:val="left" w:pos="0"/>
              </w:tabs>
              <w:ind w:firstLine="317"/>
              <w:jc w:val="both"/>
            </w:pPr>
            <w:r w:rsidRPr="000D6B14">
              <w:t>У січні-жовтні 2017 року підприємствами області реалізовано промислової продукції (товарів, послуг) на суму 53,9 млрд. грн.</w:t>
            </w:r>
          </w:p>
        </w:tc>
      </w:tr>
      <w:tr w:rsidR="009543EB" w:rsidRPr="00514059" w:rsidTr="00D72158">
        <w:trPr>
          <w:trHeight w:val="80"/>
        </w:trPr>
        <w:tc>
          <w:tcPr>
            <w:tcW w:w="10490" w:type="dxa"/>
            <w:gridSpan w:val="2"/>
            <w:tcBorders>
              <w:left w:val="nil"/>
              <w:right w:val="nil"/>
            </w:tcBorders>
          </w:tcPr>
          <w:p w:rsidR="009543EB" w:rsidRPr="00EF17D0" w:rsidRDefault="009543EB" w:rsidP="00593F00">
            <w:pPr>
              <w:spacing w:before="120" w:after="120"/>
              <w:jc w:val="center"/>
              <w:rPr>
                <w:b/>
              </w:rPr>
            </w:pPr>
            <w:r w:rsidRPr="00EF17D0">
              <w:rPr>
                <w:b/>
              </w:rPr>
              <w:lastRenderedPageBreak/>
              <w:t>МАЛЕ ПІДПРИЄМНИЦТВО</w:t>
            </w:r>
          </w:p>
        </w:tc>
      </w:tr>
      <w:tr w:rsidR="009543EB" w:rsidRPr="00514059" w:rsidTr="00C73B4D">
        <w:trPr>
          <w:trHeight w:val="416"/>
        </w:trPr>
        <w:tc>
          <w:tcPr>
            <w:tcW w:w="1418" w:type="dxa"/>
          </w:tcPr>
          <w:p w:rsidR="009543EB" w:rsidRPr="00514059" w:rsidRDefault="009543EB" w:rsidP="002D1625">
            <w:pPr>
              <w:jc w:val="both"/>
              <w:rPr>
                <w:b/>
                <w:i/>
                <w:highlight w:val="yellow"/>
              </w:rPr>
            </w:pPr>
            <w:r w:rsidRPr="00C11FDE">
              <w:rPr>
                <w:b/>
                <w:i/>
              </w:rPr>
              <w:t>Мале підприємництво</w:t>
            </w:r>
          </w:p>
        </w:tc>
        <w:tc>
          <w:tcPr>
            <w:tcW w:w="9072" w:type="dxa"/>
          </w:tcPr>
          <w:p w:rsidR="00EF17D0" w:rsidRPr="000D6B14" w:rsidRDefault="00EF17D0" w:rsidP="00EF17D0">
            <w:pPr>
              <w:ind w:firstLine="346"/>
              <w:jc w:val="both"/>
            </w:pPr>
            <w:r w:rsidRPr="000D6B14">
              <w:t xml:space="preserve">За даними моніторингу у січні-листопаді 2017 року започаткували діяльність 11490 новостворених суб’єктів господарювання,що </w:t>
            </w:r>
            <w:r w:rsidR="00F629C1" w:rsidRPr="00F629C1">
              <w:t>в 1,6 рази</w:t>
            </w:r>
            <w:r w:rsidRPr="000D6B14">
              <w:t xml:space="preserve"> більше порівняно з відповідним періодом 2016 року, із яких 1166 – юридичних осіб (на 12,3% менше) та 10324 – фізичних осіб-підприємців (в 1,6 рази більше).</w:t>
            </w:r>
          </w:p>
          <w:p w:rsidR="00EF17D0" w:rsidRPr="000D6B14" w:rsidRDefault="00EF17D0" w:rsidP="00EF17D0">
            <w:pPr>
              <w:ind w:firstLine="346"/>
              <w:jc w:val="both"/>
            </w:pPr>
            <w:r w:rsidRPr="000D6B14">
              <w:t>Одночасно припинили господарську діяльність 18769 суб’єктів господарювання (272 – юридичні особи та 18497 – фізична особа-підприємців), що в 3,6 рази більше порівняно з відповідним періодом 2016 року.</w:t>
            </w:r>
          </w:p>
          <w:p w:rsidR="00EF17D0" w:rsidRPr="000D6B14" w:rsidRDefault="00EF17D0" w:rsidP="00EF17D0">
            <w:pPr>
              <w:ind w:firstLine="346"/>
              <w:jc w:val="both"/>
            </w:pPr>
            <w:r w:rsidRPr="000D6B14">
              <w:t>Найбільше новостворених суб’єктів господарювання юридичних осіб в м. Вінниці - 670, або 57,5% від загальної кількості новостворених юридичних осіб, у Вінницькому районі – 74 або 6,3%, у Калинівському районі – 29 або 2,5%, у Тростянецькому районі – 27 або 2,3%.</w:t>
            </w:r>
          </w:p>
          <w:p w:rsidR="00EF17D0" w:rsidRPr="000D6B14" w:rsidRDefault="00EF17D0" w:rsidP="00EF17D0">
            <w:pPr>
              <w:ind w:firstLine="346"/>
              <w:jc w:val="both"/>
            </w:pPr>
            <w:r w:rsidRPr="000D6B14">
              <w:t>Найбільше новостворених фізичних осіб – підприємців: серед районів у Вінницькому (5,7% від загальної кількості  новостворених  фізичних  осіб-підприємців), Бершадському районі – 4,3%, Барському районі – 3,5%, Тульчинському районі – 3,1%,  Калинівському районі – 3,0%.</w:t>
            </w:r>
          </w:p>
          <w:p w:rsidR="00EF17D0" w:rsidRPr="000D6B14" w:rsidRDefault="00EF17D0" w:rsidP="00EF17D0">
            <w:pPr>
              <w:ind w:firstLine="346"/>
              <w:jc w:val="both"/>
            </w:pPr>
            <w:r w:rsidRPr="000D6B14">
              <w:t>Серед міст обласного значення: у м.Вінниці - 35,9%, м.Могилів-Подільському – 3,2%.</w:t>
            </w:r>
          </w:p>
          <w:p w:rsidR="00EF17D0" w:rsidRPr="000D6B14" w:rsidRDefault="00EF17D0" w:rsidP="00EF17D0">
            <w:pPr>
              <w:ind w:firstLine="346"/>
              <w:jc w:val="both"/>
            </w:pPr>
            <w:r w:rsidRPr="000D6B14">
              <w:t xml:space="preserve">Cума надходжень до бюджетів усіх рівнів від діяльності суб’єктів малого підприємництва за 9 місяців 2017 року становить 2209,4 млн.грн., або 29,4% від загальних обсягів надходжень, що на 27,1% більше ніж у відповідному періоді 2016 року. </w:t>
            </w:r>
          </w:p>
          <w:p w:rsidR="00EF17D0" w:rsidRPr="000D6B14" w:rsidRDefault="00EF17D0" w:rsidP="00EF17D0">
            <w:pPr>
              <w:ind w:firstLine="346"/>
              <w:jc w:val="both"/>
            </w:pPr>
            <w:r w:rsidRPr="000D6B14">
              <w:t xml:space="preserve">Сума надходжень до місцевих бюджетів від діяльності суб’єктів малого підприємництва  в порівнянні з відповідним періодом 2016 року  зросла на 34,6%, або на 328,5 млн.грн. і  становить   1277,8 млн.грн., а їх частка в загальній сумі надходжень до місцевого бюджету складає 29,0%. </w:t>
            </w:r>
          </w:p>
          <w:p w:rsidR="00EF17D0" w:rsidRPr="000D6B14" w:rsidRDefault="00EF17D0" w:rsidP="00EF17D0">
            <w:pPr>
              <w:ind w:firstLine="346"/>
              <w:jc w:val="both"/>
            </w:pPr>
            <w:r w:rsidRPr="000D6B14">
              <w:t xml:space="preserve">Від суб’єктів малого підприємництва, які  працювали  за спрощеною системою  оподаткування (єдиний податок),   надходження  до бюджету за  9 місяців 2017 року майже на 149,8 млн.грн. більше, ніж за 9 місяців 2016 року і вони складають 471,6 </w:t>
            </w:r>
            <w:r w:rsidRPr="000D6B14">
              <w:lastRenderedPageBreak/>
              <w:t>млн.грн., або 10,6% від загальної суми надходжень до місцевих бюджетів. В області діють 32 Центр</w:t>
            </w:r>
            <w:r w:rsidR="00F629C1" w:rsidRPr="00F629C1">
              <w:t>и</w:t>
            </w:r>
            <w:r w:rsidRPr="000D6B14">
              <w:t xml:space="preserve"> надання адміністративних послуг (21 – районний, 4 – міськрайонні, 4 – міських, 2 - сільських, 1 - селищний) та 6 територіальних відділень: 3- в місті Вінниці, 1- в Липовецькому, 1- в Крижопільському, 1- в Погребищенському районах. </w:t>
            </w:r>
          </w:p>
          <w:p w:rsidR="00EF17D0" w:rsidRPr="000D6B14" w:rsidRDefault="00EF17D0" w:rsidP="00EF17D0">
            <w:pPr>
              <w:ind w:firstLine="346"/>
              <w:jc w:val="both"/>
            </w:pPr>
            <w:r w:rsidRPr="000D6B14">
              <w:t xml:space="preserve">За січень-вересень 2017 року Центрами надання адміністративних послуг в Вінницькій області надано понад 895 тисяч різноманітних адміністративних послуг суб’єктам звернення, що на 18,6% більше порівняно з відповідним періодом 2016 року. </w:t>
            </w:r>
          </w:p>
          <w:p w:rsidR="00EF17D0" w:rsidRPr="000D6B14" w:rsidRDefault="00EF17D0" w:rsidP="00EF17D0">
            <w:pPr>
              <w:autoSpaceDE w:val="0"/>
              <w:autoSpaceDN w:val="0"/>
              <w:ind w:firstLine="346"/>
              <w:jc w:val="both"/>
              <w:rPr>
                <w:lang w:eastAsia="ru-RU"/>
              </w:rPr>
            </w:pPr>
            <w:r w:rsidRPr="000D6B14">
              <w:t xml:space="preserve">Надходження до місцевих бюджетів від надання адміністративних послуг за 9 місяців 2017 року склали 59,6 млн.грн., </w:t>
            </w:r>
            <w:r w:rsidRPr="000D6B14">
              <w:rPr>
                <w:lang w:eastAsia="ru-RU"/>
              </w:rPr>
              <w:t>що в 1,7 разів більше порівняно з відповідним періодом 2016 року (34,8</w:t>
            </w:r>
            <w:r w:rsidRPr="000D6B14">
              <w:t>млн.грн.)</w:t>
            </w:r>
            <w:r w:rsidRPr="000D6B14">
              <w:rPr>
                <w:lang w:eastAsia="ru-RU"/>
              </w:rPr>
              <w:t>.</w:t>
            </w:r>
          </w:p>
          <w:p w:rsidR="009543EB" w:rsidRPr="00AA645C" w:rsidRDefault="00EF17D0" w:rsidP="00EF17D0">
            <w:pPr>
              <w:ind w:firstLine="346"/>
              <w:jc w:val="both"/>
              <w:rPr>
                <w:b/>
                <w:highlight w:val="yellow"/>
              </w:rPr>
            </w:pPr>
            <w:r w:rsidRPr="000D6B14">
              <w:t>При цьому, у</w:t>
            </w:r>
            <w:r w:rsidRPr="000D6B14">
              <w:rPr>
                <w:bCs/>
              </w:rPr>
              <w:t xml:space="preserve"> 2017 році </w:t>
            </w:r>
            <w:r w:rsidRPr="000D6B14">
              <w:t>з місцевих бюджетів</w:t>
            </w:r>
            <w:r w:rsidRPr="000D6B14">
              <w:rPr>
                <w:bCs/>
              </w:rPr>
              <w:t xml:space="preserve"> на фінансування ЦНАПів передбачено кошти в сумі 2,63 млн.грн.</w:t>
            </w:r>
            <w:r w:rsidRPr="000D6B14">
              <w:t>, із яких станом на 01.10.2017 року профінансовано лише 1,2 млн.грн.</w:t>
            </w:r>
          </w:p>
        </w:tc>
      </w:tr>
      <w:tr w:rsidR="009543EB" w:rsidRPr="00514059" w:rsidTr="00D72158">
        <w:trPr>
          <w:trHeight w:val="418"/>
        </w:trPr>
        <w:tc>
          <w:tcPr>
            <w:tcW w:w="1418" w:type="dxa"/>
            <w:tcBorders>
              <w:right w:val="nil"/>
            </w:tcBorders>
          </w:tcPr>
          <w:p w:rsidR="009543EB" w:rsidRPr="00271507" w:rsidRDefault="009543EB" w:rsidP="002D1625">
            <w:pPr>
              <w:jc w:val="both"/>
              <w:rPr>
                <w:b/>
                <w:i/>
              </w:rPr>
            </w:pPr>
          </w:p>
        </w:tc>
        <w:tc>
          <w:tcPr>
            <w:tcW w:w="9072" w:type="dxa"/>
            <w:tcBorders>
              <w:left w:val="nil"/>
            </w:tcBorders>
          </w:tcPr>
          <w:p w:rsidR="009543EB" w:rsidRPr="00271507" w:rsidRDefault="009543EB" w:rsidP="002D1625">
            <w:pPr>
              <w:jc w:val="center"/>
            </w:pPr>
            <w:r w:rsidRPr="00271507">
              <w:rPr>
                <w:b/>
              </w:rPr>
              <w:t>ЗОВНІШНЬОТОРГОВЕЛЬНА ДІЯЛЬНІСТЬ</w:t>
            </w:r>
          </w:p>
        </w:tc>
      </w:tr>
      <w:tr w:rsidR="005A4292" w:rsidRPr="00514059" w:rsidTr="00D72158">
        <w:trPr>
          <w:trHeight w:val="841"/>
        </w:trPr>
        <w:tc>
          <w:tcPr>
            <w:tcW w:w="1418" w:type="dxa"/>
          </w:tcPr>
          <w:p w:rsidR="005A4292" w:rsidRPr="00417457" w:rsidRDefault="005A4292" w:rsidP="005A4292">
            <w:pPr>
              <w:rPr>
                <w:b/>
                <w:i/>
              </w:rPr>
            </w:pPr>
            <w:r w:rsidRPr="00417457">
              <w:rPr>
                <w:b/>
                <w:i/>
              </w:rPr>
              <w:t>Зовнішньоторговельна діяльність</w:t>
            </w:r>
          </w:p>
        </w:tc>
        <w:tc>
          <w:tcPr>
            <w:tcW w:w="9072" w:type="dxa"/>
          </w:tcPr>
          <w:p w:rsidR="00271507" w:rsidRDefault="00271507" w:rsidP="000D6B14">
            <w:pPr>
              <w:ind w:firstLine="317"/>
              <w:jc w:val="both"/>
            </w:pPr>
            <w:r w:rsidRPr="00271507">
              <w:t>Обсяги експорту товарів у січні–жовтні 2017р. становили 962,8 млн.дол. США, а імпорту – 336,1 млн.дол. Порівняно із січнем–жовтнем 2016р. експорт та імпорт збільшились відповідно на 30,2% (на 223,2 млн.дол.) та на 39,4% (на 95,0 млн.дол.). Баланс зовнішньої торгівлі становить 626,8 млн.дол.</w:t>
            </w:r>
          </w:p>
          <w:p w:rsidR="00271507" w:rsidRDefault="00271507" w:rsidP="000D6B14">
            <w:pPr>
              <w:ind w:firstLine="317"/>
              <w:jc w:val="both"/>
            </w:pPr>
            <w:r>
              <w:t>Коефіцієнт покриття експортом імпорту склав 2,87 (у січні–жовтні 2016р. – 3,07).</w:t>
            </w:r>
          </w:p>
          <w:p w:rsidR="005A4292" w:rsidRPr="00AA645C" w:rsidRDefault="00271507" w:rsidP="000D6B14">
            <w:pPr>
              <w:ind w:firstLine="317"/>
              <w:jc w:val="both"/>
              <w:rPr>
                <w:highlight w:val="yellow"/>
              </w:rPr>
            </w:pPr>
            <w:r>
              <w:t>Зовнішньоторговельні операції з товарами суб’єкти господарювання області здійснювали з партнерами із 138 країн світу.</w:t>
            </w:r>
          </w:p>
        </w:tc>
      </w:tr>
      <w:tr w:rsidR="005A4292" w:rsidRPr="00514059" w:rsidTr="00D72158">
        <w:trPr>
          <w:trHeight w:val="282"/>
        </w:trPr>
        <w:tc>
          <w:tcPr>
            <w:tcW w:w="1418" w:type="dxa"/>
          </w:tcPr>
          <w:p w:rsidR="005A4292" w:rsidRPr="00417457" w:rsidRDefault="005A4292" w:rsidP="005A4292">
            <w:pPr>
              <w:jc w:val="both"/>
              <w:rPr>
                <w:b/>
                <w:i/>
              </w:rPr>
            </w:pPr>
            <w:r w:rsidRPr="00417457">
              <w:rPr>
                <w:b/>
                <w:bCs/>
                <w:i/>
              </w:rPr>
              <w:t>Географічна структура експорту та імпорту</w:t>
            </w:r>
          </w:p>
        </w:tc>
        <w:tc>
          <w:tcPr>
            <w:tcW w:w="9072" w:type="dxa"/>
          </w:tcPr>
          <w:p w:rsidR="00271507" w:rsidRDefault="00271507" w:rsidP="000D6B14">
            <w:pPr>
              <w:ind w:firstLine="317"/>
              <w:jc w:val="both"/>
            </w:pPr>
            <w:r>
              <w:t>В експорті товарів значна доля належить Індії (15,2% загальних обсягів експорту), Польщі – 9,4%, Китаю – 6,5%, Іспанії – 5,4%, Білорусі – 5,1%, Туреччині – 4,0%, Нідерландам – 3,6%, Російській Федерації –  3,4%, Італії – 3,0%, Німеччині – 2,9%, Єгипту – 2,8% та Молдові – 2,7%.  Експортні поставки найбільше зросли до Албанії, Бангладеш, Великої Британії, Греції, Данії, Індії, Іраку, Ірану, Іспанії, Латвії, Пакистану, Південної Африки, Сомалі, Судану, США, Того, Тунісу, Чехії та Чорногорії. Одночасно суттєво зменшились обсяги експорту до  Ефіопії, Казахстану, Кореї, Лівану, Лівії, Малайзії, Саудівської Аравії, Таїланду, Угорщини та Філіппін.</w:t>
            </w:r>
          </w:p>
          <w:p w:rsidR="005A4292" w:rsidRPr="00AA645C" w:rsidRDefault="00271507" w:rsidP="000D6B14">
            <w:pPr>
              <w:ind w:firstLine="317"/>
              <w:jc w:val="both"/>
              <w:rPr>
                <w:highlight w:val="yellow"/>
              </w:rPr>
            </w:pPr>
            <w:r>
              <w:t>В імпортних надходженнях найбільша частка припадає на Китай (15,6% загальних обсягів імпорту), Німеччину – 15,5%, Польщу – 11,3%, США – 11,2%, Італію – 5,9%, Російську Федерацію – 4,8%, Румунію –   4,4%, Білорусь – 4,3%, Туреччину – 2,9%, Нідерланди та Іспанію – по 2,3% і Корею – 2,2%. Імпортні поставки, порівняно з січнем–жовтнем 2016р., суттєво збільшились з Ботсвани, Бразілії, Кореї, Молдови, Німеччини, Польщі, Сербії, США та Фінляндії. Одночасно спостерігається вагоме зменшення обсягів імпорту з Болгарії, Греції, Казахстану, Об’єднаних Арабських Еміратів, Південної Африки та Словенії.</w:t>
            </w:r>
          </w:p>
        </w:tc>
      </w:tr>
      <w:tr w:rsidR="005A4292" w:rsidRPr="00514059" w:rsidTr="000D6B14">
        <w:trPr>
          <w:trHeight w:val="566"/>
        </w:trPr>
        <w:tc>
          <w:tcPr>
            <w:tcW w:w="1418" w:type="dxa"/>
          </w:tcPr>
          <w:p w:rsidR="005A4292" w:rsidRPr="00514059" w:rsidRDefault="005A4292" w:rsidP="005A4292">
            <w:pPr>
              <w:jc w:val="both"/>
              <w:rPr>
                <w:b/>
                <w:bCs/>
                <w:i/>
                <w:highlight w:val="yellow"/>
              </w:rPr>
            </w:pPr>
            <w:r w:rsidRPr="00417457">
              <w:rPr>
                <w:b/>
                <w:i/>
              </w:rPr>
              <w:t>Товарна структура зовнішньої торгівлі товарами.</w:t>
            </w:r>
          </w:p>
        </w:tc>
        <w:tc>
          <w:tcPr>
            <w:tcW w:w="9072" w:type="dxa"/>
          </w:tcPr>
          <w:p w:rsidR="00271507" w:rsidRDefault="00271507" w:rsidP="000D6B14">
            <w:pPr>
              <w:ind w:firstLine="317"/>
              <w:jc w:val="both"/>
            </w:pPr>
            <w:r>
              <w:t xml:space="preserve">Основу товарної структури зовнішньої торгівлі товарами складають жири та олії тваринного або рослинного походження, готові харчові продукти та продукти рослинного походження. Крім того, вагома частка належить деревині та виробам з деревини, живим тваринам, продуктам тваринного походження, машинам, обладнанню та механізмам, електротехнічному обладнанню, засобам наземного транспорту, літальним апаратам, плавучим засобам та недорогоцінним металам та виробам з них. </w:t>
            </w:r>
          </w:p>
          <w:p w:rsidR="005A4292" w:rsidRPr="00AA645C" w:rsidRDefault="00271507" w:rsidP="000D6B14">
            <w:pPr>
              <w:ind w:firstLine="317"/>
              <w:jc w:val="both"/>
              <w:rPr>
                <w:highlight w:val="yellow"/>
              </w:rPr>
            </w:pPr>
            <w:r>
              <w:t xml:space="preserve">У січні–жовтні 2017р. з Вінниччини було експортовано 3733,5 т м’яса великої рогатої худоби, 19,1 тис.т молока і молочних продуктів, 4565,1 т масла вершкового та інших молочних жирів, 593,9 т сирів, 665,0 тис.т зернових культур, 2714,3 т круп зернових, 453,0 тис.т олії соняшникової, 130,2 тис.т цукру білого, 213,1 тис.дал горілки, 63,1 тис.м3 лісоматеріалів оброблених, 15,6 тис.м2 тканин та 8955,9 т прокату чорних металів. Імпортовано на Вінниччину 654,3 т м’яса великої рогатої худоби, 74,3 тис.т портландцементу, 6371,7 т продуктів переробки нафти, 217,0 т медикаментів, 22,1 тис.т добрив, 32,4 тис.шт шин для вантажних автомобілів, 2007,0 м3 лісоматеріалів оброблених, 10,5 тис.м3 плит деревноволокнистих, 1876,2 тис.м2 тканин різних видів, 23,4 тис.т прокату чорних металів, 829,4 т труб з ливарного чавуну і чорних металів, 574,7 тис.шт машин пральних побутових, 291 машину </w:t>
            </w:r>
            <w:r>
              <w:lastRenderedPageBreak/>
              <w:t>сільськогосподарську, садову для обробки ґрунту, 141 комбайн зернозбиральний, 1399 тракторів, 258 автомобілів вантажних, 982 автомобілі легкові, 4033 автонавантажувачі та 36 автомобілів спеціальних.</w:t>
            </w:r>
          </w:p>
        </w:tc>
      </w:tr>
      <w:tr w:rsidR="009543EB" w:rsidRPr="00514059" w:rsidTr="00D72158">
        <w:trPr>
          <w:trHeight w:val="80"/>
        </w:trPr>
        <w:tc>
          <w:tcPr>
            <w:tcW w:w="10490" w:type="dxa"/>
            <w:gridSpan w:val="2"/>
            <w:tcBorders>
              <w:left w:val="nil"/>
              <w:right w:val="nil"/>
            </w:tcBorders>
          </w:tcPr>
          <w:p w:rsidR="009543EB" w:rsidRPr="00271507" w:rsidRDefault="009543EB" w:rsidP="000D6B14">
            <w:pPr>
              <w:spacing w:before="120" w:after="120"/>
              <w:jc w:val="center"/>
            </w:pPr>
            <w:r w:rsidRPr="00271507">
              <w:rPr>
                <w:b/>
              </w:rPr>
              <w:lastRenderedPageBreak/>
              <w:t>ІНВЕСТИЦІЙНА ДІЯЛЬНІСТЬ ТА ГРОШОВО-КРЕДИТНИЙ РИНОК</w:t>
            </w:r>
          </w:p>
        </w:tc>
      </w:tr>
      <w:tr w:rsidR="009543EB" w:rsidRPr="00514059" w:rsidTr="00D72158">
        <w:trPr>
          <w:trHeight w:val="274"/>
        </w:trPr>
        <w:tc>
          <w:tcPr>
            <w:tcW w:w="1418" w:type="dxa"/>
          </w:tcPr>
          <w:p w:rsidR="009543EB" w:rsidRPr="00B6710E" w:rsidRDefault="009543EB" w:rsidP="002D1625">
            <w:pPr>
              <w:jc w:val="both"/>
              <w:rPr>
                <w:b/>
                <w:i/>
                <w:iCs/>
              </w:rPr>
            </w:pPr>
            <w:r w:rsidRPr="00B6710E">
              <w:rPr>
                <w:b/>
                <w:i/>
                <w:iCs/>
              </w:rPr>
              <w:t xml:space="preserve">Розвиток </w:t>
            </w:r>
          </w:p>
          <w:p w:rsidR="009543EB" w:rsidRPr="00B6710E" w:rsidRDefault="009543EB" w:rsidP="002D1625">
            <w:pPr>
              <w:jc w:val="both"/>
              <w:rPr>
                <w:b/>
                <w:i/>
                <w:iCs/>
              </w:rPr>
            </w:pPr>
            <w:r w:rsidRPr="00B6710E">
              <w:rPr>
                <w:b/>
                <w:i/>
                <w:iCs/>
              </w:rPr>
              <w:t xml:space="preserve">будівельної </w:t>
            </w:r>
          </w:p>
          <w:p w:rsidR="009543EB" w:rsidRPr="00514059" w:rsidRDefault="009543EB" w:rsidP="002D1625">
            <w:pPr>
              <w:jc w:val="both"/>
              <w:rPr>
                <w:b/>
                <w:i/>
                <w:iCs/>
                <w:highlight w:val="yellow"/>
              </w:rPr>
            </w:pPr>
            <w:r w:rsidRPr="00B6710E">
              <w:rPr>
                <w:b/>
                <w:i/>
                <w:iCs/>
              </w:rPr>
              <w:t>справи</w:t>
            </w:r>
          </w:p>
        </w:tc>
        <w:tc>
          <w:tcPr>
            <w:tcW w:w="9072" w:type="dxa"/>
          </w:tcPr>
          <w:p w:rsidR="00F90FC2" w:rsidRPr="00A12B4C" w:rsidRDefault="00F90FC2" w:rsidP="00F90FC2">
            <w:pPr>
              <w:tabs>
                <w:tab w:val="left" w:pos="488"/>
              </w:tabs>
              <w:ind w:firstLine="317"/>
              <w:jc w:val="both"/>
              <w:rPr>
                <w:color w:val="000000"/>
              </w:rPr>
            </w:pPr>
            <w:r w:rsidRPr="00A12B4C">
              <w:rPr>
                <w:color w:val="000000"/>
              </w:rPr>
              <w:t>Будівельними організаціями області у січні-</w:t>
            </w:r>
            <w:r>
              <w:rPr>
                <w:color w:val="000000"/>
              </w:rPr>
              <w:t>листопаді</w:t>
            </w:r>
            <w:r w:rsidRPr="00A12B4C">
              <w:rPr>
                <w:color w:val="000000"/>
              </w:rPr>
              <w:t xml:space="preserve"> 2017 року виконано будівельні роботи на суму 2</w:t>
            </w:r>
            <w:r>
              <w:rPr>
                <w:color w:val="000000"/>
              </w:rPr>
              <w:t>595,6</w:t>
            </w:r>
            <w:r w:rsidRPr="00A12B4C">
              <w:rPr>
                <w:color w:val="000000"/>
              </w:rPr>
              <w:t xml:space="preserve"> млн. грн.(</w:t>
            </w:r>
            <w:r>
              <w:rPr>
                <w:color w:val="000000"/>
              </w:rPr>
              <w:t xml:space="preserve"> 8</w:t>
            </w:r>
            <w:r w:rsidRPr="00A12B4C">
              <w:rPr>
                <w:color w:val="000000"/>
              </w:rPr>
              <w:t xml:space="preserve"> місце серед регіонів України).</w:t>
            </w:r>
          </w:p>
          <w:p w:rsidR="00F90FC2" w:rsidRPr="00A12B4C" w:rsidRDefault="00F90FC2" w:rsidP="00F90FC2">
            <w:pPr>
              <w:tabs>
                <w:tab w:val="left" w:pos="488"/>
              </w:tabs>
              <w:ind w:firstLine="317"/>
              <w:jc w:val="both"/>
              <w:rPr>
                <w:color w:val="000000"/>
              </w:rPr>
            </w:pPr>
            <w:r w:rsidRPr="00A12B4C">
              <w:rPr>
                <w:color w:val="000000"/>
              </w:rPr>
              <w:t xml:space="preserve">Обсяги виконаних будівельних робіт за видами будівельної продукції становили: </w:t>
            </w:r>
          </w:p>
          <w:p w:rsidR="00F90FC2" w:rsidRPr="00A12B4C" w:rsidRDefault="00F90FC2" w:rsidP="00F90FC2">
            <w:pPr>
              <w:tabs>
                <w:tab w:val="left" w:pos="488"/>
              </w:tabs>
              <w:ind w:firstLine="317"/>
              <w:jc w:val="both"/>
              <w:rPr>
                <w:color w:val="000000"/>
              </w:rPr>
            </w:pPr>
            <w:r w:rsidRPr="00A12B4C">
              <w:rPr>
                <w:color w:val="000000"/>
              </w:rPr>
              <w:t xml:space="preserve">- на будівництві будівель – </w:t>
            </w:r>
            <w:r>
              <w:rPr>
                <w:color w:val="000000"/>
              </w:rPr>
              <w:t>1005,6</w:t>
            </w:r>
            <w:r w:rsidRPr="00A12B4C">
              <w:rPr>
                <w:color w:val="000000"/>
              </w:rPr>
              <w:t xml:space="preserve"> млн. грн., або 38,</w:t>
            </w:r>
            <w:r>
              <w:rPr>
                <w:color w:val="000000"/>
              </w:rPr>
              <w:t>7</w:t>
            </w:r>
            <w:r w:rsidRPr="00A12B4C">
              <w:rPr>
                <w:color w:val="000000"/>
              </w:rPr>
              <w:t xml:space="preserve"> % від загального обсягу;</w:t>
            </w:r>
          </w:p>
          <w:p w:rsidR="00F90FC2" w:rsidRPr="00A12B4C" w:rsidRDefault="00F90FC2" w:rsidP="00F90FC2">
            <w:pPr>
              <w:tabs>
                <w:tab w:val="left" w:pos="488"/>
              </w:tabs>
              <w:ind w:firstLine="317"/>
              <w:jc w:val="both"/>
              <w:rPr>
                <w:color w:val="000000"/>
              </w:rPr>
            </w:pPr>
            <w:r w:rsidRPr="00A12B4C">
              <w:rPr>
                <w:color w:val="000000"/>
              </w:rPr>
              <w:t>- на інженерних спорудах – 1</w:t>
            </w:r>
            <w:r>
              <w:rPr>
                <w:color w:val="000000"/>
              </w:rPr>
              <w:t>590,</w:t>
            </w:r>
            <w:r w:rsidRPr="00A12B4C">
              <w:rPr>
                <w:color w:val="000000"/>
              </w:rPr>
              <w:t>1 млн. грн. або 61,</w:t>
            </w:r>
            <w:r>
              <w:rPr>
                <w:color w:val="000000"/>
              </w:rPr>
              <w:t>3</w:t>
            </w:r>
            <w:r w:rsidRPr="00A12B4C">
              <w:rPr>
                <w:color w:val="000000"/>
              </w:rPr>
              <w:t xml:space="preserve"> %.</w:t>
            </w:r>
          </w:p>
          <w:p w:rsidR="00F90FC2" w:rsidRPr="00A12B4C" w:rsidRDefault="00F90FC2" w:rsidP="00F90FC2">
            <w:pPr>
              <w:tabs>
                <w:tab w:val="left" w:pos="488"/>
              </w:tabs>
              <w:ind w:firstLine="317"/>
              <w:jc w:val="both"/>
              <w:rPr>
                <w:color w:val="000000"/>
              </w:rPr>
            </w:pPr>
            <w:r w:rsidRPr="00A12B4C">
              <w:rPr>
                <w:color w:val="000000"/>
              </w:rPr>
              <w:t>За даними Головного управління статистики</w:t>
            </w:r>
            <w:r w:rsidRPr="00A12B4C">
              <w:rPr>
                <w:bCs/>
                <w:iCs/>
                <w:color w:val="000000"/>
              </w:rPr>
              <w:t xml:space="preserve"> у Вінницькій області </w:t>
            </w:r>
            <w:r w:rsidRPr="00A12B4C">
              <w:rPr>
                <w:color w:val="000000"/>
              </w:rPr>
              <w:t>індекс будівельної продукції у січні-</w:t>
            </w:r>
            <w:r>
              <w:rPr>
                <w:color w:val="000000"/>
              </w:rPr>
              <w:t>листопаді</w:t>
            </w:r>
            <w:r w:rsidRPr="00A12B4C">
              <w:rPr>
                <w:color w:val="000000"/>
              </w:rPr>
              <w:t xml:space="preserve"> 2017 року становив 11</w:t>
            </w:r>
            <w:r>
              <w:rPr>
                <w:color w:val="000000"/>
              </w:rPr>
              <w:t>7,9</w:t>
            </w:r>
            <w:r w:rsidRPr="00A12B4C">
              <w:rPr>
                <w:color w:val="000000"/>
              </w:rPr>
              <w:t xml:space="preserve"> %(</w:t>
            </w:r>
            <w:r>
              <w:rPr>
                <w:color w:val="000000"/>
              </w:rPr>
              <w:t xml:space="preserve">12 </w:t>
            </w:r>
            <w:r w:rsidRPr="00A12B4C">
              <w:rPr>
                <w:color w:val="000000"/>
              </w:rPr>
              <w:t>місце серед регіонів України).</w:t>
            </w:r>
          </w:p>
          <w:p w:rsidR="00F90FC2" w:rsidRPr="00A12B4C" w:rsidRDefault="00F90FC2" w:rsidP="00F90FC2">
            <w:pPr>
              <w:tabs>
                <w:tab w:val="left" w:pos="488"/>
              </w:tabs>
              <w:ind w:firstLine="317"/>
              <w:jc w:val="both"/>
            </w:pPr>
            <w:r w:rsidRPr="00A12B4C">
              <w:t>У січні - вересні 2017 року підприємствами та організаціями області за рахунок усіх джерел фінансування освоєно 6949,1 млн. грн. капітальних інвестицій (</w:t>
            </w:r>
            <w:r w:rsidRPr="00A12B4C">
              <w:rPr>
                <w:i/>
                <w:color w:val="000000"/>
              </w:rPr>
              <w:t xml:space="preserve">11 </w:t>
            </w:r>
            <w:r w:rsidRPr="00A12B4C">
              <w:rPr>
                <w:i/>
              </w:rPr>
              <w:t>місце серед регіонів України</w:t>
            </w:r>
            <w:r w:rsidRPr="00A12B4C">
              <w:t>).</w:t>
            </w:r>
          </w:p>
          <w:p w:rsidR="00F90FC2" w:rsidRPr="00A12B4C" w:rsidRDefault="00F90FC2" w:rsidP="00F90FC2">
            <w:pPr>
              <w:tabs>
                <w:tab w:val="left" w:pos="488"/>
              </w:tabs>
              <w:ind w:firstLine="317"/>
              <w:jc w:val="both"/>
            </w:pPr>
            <w:r w:rsidRPr="00A12B4C">
              <w:t>У порівнянних цінах на 34,5% більше від обсягу капітальних інвестицій за відповідний період попереднього року (6</w:t>
            </w:r>
            <w:r w:rsidRPr="00A12B4C">
              <w:rPr>
                <w:i/>
              </w:rPr>
              <w:t xml:space="preserve"> місце серед регіонів України</w:t>
            </w:r>
            <w:r w:rsidRPr="00A12B4C">
              <w:t>).</w:t>
            </w:r>
          </w:p>
          <w:p w:rsidR="00F90FC2" w:rsidRPr="00A12B4C" w:rsidRDefault="00F90FC2" w:rsidP="00F90FC2">
            <w:pPr>
              <w:tabs>
                <w:tab w:val="left" w:pos="488"/>
              </w:tabs>
              <w:ind w:firstLine="317"/>
              <w:jc w:val="both"/>
            </w:pPr>
            <w:r w:rsidRPr="00A12B4C">
              <w:t>Найвагомішу частку капітальних інвестицій (99,1% загального обсягу) освоєно в матеріальні активи, з яких:</w:t>
            </w:r>
          </w:p>
          <w:p w:rsidR="00F90FC2" w:rsidRPr="00A12B4C" w:rsidRDefault="00F90FC2" w:rsidP="00F90FC2">
            <w:pPr>
              <w:numPr>
                <w:ilvl w:val="0"/>
                <w:numId w:val="1"/>
              </w:numPr>
              <w:tabs>
                <w:tab w:val="left" w:pos="488"/>
                <w:tab w:val="left" w:pos="736"/>
                <w:tab w:val="left" w:pos="1593"/>
              </w:tabs>
              <w:ind w:left="0" w:firstLine="317"/>
              <w:jc w:val="both"/>
            </w:pPr>
            <w:r w:rsidRPr="00A12B4C">
              <w:t>у будівлі та споруди –  30,2% усіх інвестицій;</w:t>
            </w:r>
          </w:p>
          <w:p w:rsidR="00F90FC2" w:rsidRPr="00A12B4C" w:rsidRDefault="00F90FC2" w:rsidP="00F90FC2">
            <w:pPr>
              <w:numPr>
                <w:ilvl w:val="0"/>
                <w:numId w:val="1"/>
              </w:numPr>
              <w:tabs>
                <w:tab w:val="left" w:pos="488"/>
                <w:tab w:val="left" w:pos="736"/>
                <w:tab w:val="left" w:pos="1593"/>
              </w:tabs>
              <w:ind w:left="0" w:firstLine="317"/>
              <w:jc w:val="both"/>
            </w:pPr>
            <w:r w:rsidRPr="00A12B4C">
              <w:t>у машини, обладнання та інвентар і транспортні засоби – 64,7%.</w:t>
            </w:r>
          </w:p>
          <w:p w:rsidR="00F90FC2" w:rsidRPr="00A12B4C" w:rsidRDefault="00F90FC2" w:rsidP="00F90FC2">
            <w:pPr>
              <w:tabs>
                <w:tab w:val="left" w:pos="488"/>
              </w:tabs>
              <w:ind w:firstLine="317"/>
              <w:jc w:val="both"/>
            </w:pPr>
            <w:r w:rsidRPr="00A12B4C">
              <w:t>Головним джерелом інвестування залишаються власні кошти підприємств та організацій, за рахунок яких освоєно 73,9% загального обсягу капітальних інвестицій.</w:t>
            </w:r>
          </w:p>
          <w:p w:rsidR="00F90FC2" w:rsidRPr="00A12B4C" w:rsidRDefault="00F90FC2" w:rsidP="00F90FC2">
            <w:pPr>
              <w:tabs>
                <w:tab w:val="left" w:pos="488"/>
              </w:tabs>
              <w:ind w:firstLine="317"/>
              <w:jc w:val="both"/>
            </w:pPr>
            <w:r w:rsidRPr="00A12B4C">
              <w:t xml:space="preserve">Частка запозичених коштів, за рахунок кредитів банків та інших позик, становила 3,1%. </w:t>
            </w:r>
          </w:p>
          <w:p w:rsidR="00F90FC2" w:rsidRPr="00A12B4C" w:rsidRDefault="00F90FC2" w:rsidP="00F90FC2">
            <w:pPr>
              <w:tabs>
                <w:tab w:val="left" w:pos="488"/>
              </w:tabs>
              <w:ind w:firstLine="317"/>
              <w:jc w:val="both"/>
            </w:pPr>
            <w:r w:rsidRPr="00A12B4C">
              <w:t>Кошти населення на будівництво житла складають 11,1% капітальних інвестицій.</w:t>
            </w:r>
          </w:p>
          <w:p w:rsidR="00F90FC2" w:rsidRPr="00A12B4C" w:rsidRDefault="00F90FC2" w:rsidP="00F90FC2">
            <w:pPr>
              <w:tabs>
                <w:tab w:val="left" w:pos="488"/>
              </w:tabs>
              <w:ind w:firstLine="317"/>
              <w:jc w:val="both"/>
            </w:pPr>
            <w:r w:rsidRPr="00A12B4C">
              <w:t>Кошти державного та місцевих бюджетів – 10,3%, інші джерела фінансування – 1,6%.</w:t>
            </w:r>
          </w:p>
          <w:p w:rsidR="00F90FC2" w:rsidRPr="00A12B4C" w:rsidRDefault="00F90FC2" w:rsidP="00F90FC2">
            <w:pPr>
              <w:tabs>
                <w:tab w:val="left" w:pos="488"/>
              </w:tabs>
              <w:ind w:firstLine="317"/>
              <w:jc w:val="both"/>
            </w:pPr>
            <w:r w:rsidRPr="00A12B4C">
              <w:t>Капітальні інвестиції у житлові будівлі по містах та районах за січень-вересень 2017 року становлять 858,7 млн. грн.</w:t>
            </w:r>
          </w:p>
          <w:p w:rsidR="00F90FC2" w:rsidRPr="00A12B4C" w:rsidRDefault="00F90FC2" w:rsidP="00F90FC2">
            <w:pPr>
              <w:tabs>
                <w:tab w:val="left" w:pos="488"/>
              </w:tabs>
              <w:ind w:firstLine="317"/>
              <w:jc w:val="both"/>
            </w:pPr>
            <w:r w:rsidRPr="00A12B4C">
              <w:t xml:space="preserve">У січні-вересні 2017 року прийнято в експлуатацію 248,3 тис. кв. м загальної площі житла , у тому числі: </w:t>
            </w:r>
          </w:p>
          <w:p w:rsidR="00F90FC2" w:rsidRPr="00A12B4C" w:rsidRDefault="00F90FC2" w:rsidP="00F90FC2">
            <w:pPr>
              <w:numPr>
                <w:ilvl w:val="0"/>
                <w:numId w:val="2"/>
              </w:numPr>
              <w:tabs>
                <w:tab w:val="left" w:pos="488"/>
              </w:tabs>
              <w:ind w:left="0" w:firstLine="317"/>
              <w:jc w:val="both"/>
            </w:pPr>
            <w:r w:rsidRPr="00A12B4C">
              <w:t>у містах – 187,3 тис. кв. м загальної площі (75,4%);</w:t>
            </w:r>
          </w:p>
          <w:p w:rsidR="00F90FC2" w:rsidRPr="00A12B4C" w:rsidRDefault="00F90FC2" w:rsidP="00F90FC2">
            <w:pPr>
              <w:numPr>
                <w:ilvl w:val="0"/>
                <w:numId w:val="2"/>
              </w:numPr>
              <w:tabs>
                <w:tab w:val="left" w:pos="488"/>
              </w:tabs>
              <w:ind w:left="0" w:firstLine="317"/>
              <w:jc w:val="both"/>
            </w:pPr>
            <w:r w:rsidRPr="00A12B4C">
              <w:t xml:space="preserve">у сільській місцевості – 61,0 тис. кв. м (24,6%). </w:t>
            </w:r>
          </w:p>
          <w:p w:rsidR="00F90FC2" w:rsidRPr="00A12B4C" w:rsidRDefault="00F90FC2" w:rsidP="00F90FC2">
            <w:pPr>
              <w:tabs>
                <w:tab w:val="left" w:pos="488"/>
              </w:tabs>
              <w:ind w:firstLine="317"/>
              <w:jc w:val="both"/>
            </w:pPr>
            <w:r w:rsidRPr="00A12B4C">
              <w:t>Обсяг прийнятого в експлуатацію житла у січні-вересні 2017 року порівняно з січнем-вереснем 2016 року збільшився на 8,8%. (По Україні – на 21,4%). Найбільше житла збудовано у м. Вінниці (60,9%) та ще у 6 регіонах (м. Хмільнику, м. Жмеринці, Вінницькому, Тиврівському, Калинівському та Гайсинському районах) прийнято в експлуатацію 25,3% загального обсягу житла.</w:t>
            </w:r>
          </w:p>
          <w:p w:rsidR="009543EB" w:rsidRPr="00AA645C" w:rsidRDefault="00F90FC2" w:rsidP="00F90FC2">
            <w:pPr>
              <w:tabs>
                <w:tab w:val="left" w:pos="488"/>
              </w:tabs>
              <w:ind w:firstLine="317"/>
              <w:jc w:val="both"/>
              <w:rPr>
                <w:highlight w:val="yellow"/>
              </w:rPr>
            </w:pPr>
            <w:r w:rsidRPr="00A12B4C">
              <w:t xml:space="preserve">За рахунок </w:t>
            </w:r>
            <w:r w:rsidRPr="00F629C1">
              <w:t>коштів державного бюджету житлові будинки в експлуатацію не приймались</w:t>
            </w:r>
            <w:r w:rsidR="00B6710E" w:rsidRPr="00F629C1">
              <w:t>.</w:t>
            </w:r>
          </w:p>
        </w:tc>
      </w:tr>
      <w:tr w:rsidR="009543EB" w:rsidRPr="00514059" w:rsidTr="00D72158">
        <w:trPr>
          <w:trHeight w:val="284"/>
        </w:trPr>
        <w:tc>
          <w:tcPr>
            <w:tcW w:w="1418" w:type="dxa"/>
          </w:tcPr>
          <w:p w:rsidR="009543EB" w:rsidRPr="000F3652" w:rsidRDefault="009543EB" w:rsidP="002D1625">
            <w:pPr>
              <w:jc w:val="both"/>
              <w:rPr>
                <w:b/>
                <w:i/>
              </w:rPr>
            </w:pPr>
            <w:r w:rsidRPr="000F3652">
              <w:rPr>
                <w:b/>
                <w:i/>
              </w:rPr>
              <w:t>Іноземне</w:t>
            </w:r>
          </w:p>
          <w:p w:rsidR="009543EB" w:rsidRPr="00514059" w:rsidRDefault="009543EB" w:rsidP="002D1625">
            <w:pPr>
              <w:jc w:val="both"/>
              <w:rPr>
                <w:b/>
                <w:i/>
                <w:iCs/>
                <w:highlight w:val="yellow"/>
              </w:rPr>
            </w:pPr>
            <w:r w:rsidRPr="000F3652">
              <w:rPr>
                <w:b/>
                <w:i/>
              </w:rPr>
              <w:t>інвестуван</w:t>
            </w:r>
            <w:r w:rsidRPr="000F3652">
              <w:rPr>
                <w:b/>
                <w:i/>
                <w:iCs/>
              </w:rPr>
              <w:t>ня</w:t>
            </w:r>
          </w:p>
        </w:tc>
        <w:tc>
          <w:tcPr>
            <w:tcW w:w="9072" w:type="dxa"/>
          </w:tcPr>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Обсяг прямих іноземних інвестицій (акціонерного капіталу) унесених в економіку області з початку інвестування на 1 жовтня 2017р. становив 195,7 млн.дол. США, та в розрахунку на одну особу населення склав 123,1 дол.</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У січні–вересні 2017р. в економіку області іноземними інвесторами вкладено 4,2 млн.дол. США прямих інвестицій (акціонерного капіталу).</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Інвестиції надійшли з 49 країн світу. Переважна більшість інвестицій (79,8% загального обсягу акціонерного капіталу) надійшла з країн ЄС – 156,2 млн.дол., з інших країн світу – 39,5 млн.дол. (20,2%).</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До п’ятірки основних країн-інвесторів, на які припадає 70,9% загального обсягу прямих інвестицій, входять: Кіпр, Австрія, Франція, Німеччина, Польща.</w:t>
            </w:r>
          </w:p>
          <w:p w:rsidR="000F3652" w:rsidRPr="00271507" w:rsidRDefault="000F3652" w:rsidP="00271507">
            <w:pPr>
              <w:pStyle w:val="af0"/>
              <w:shd w:val="clear" w:color="auto" w:fill="FFFFFF"/>
              <w:spacing w:before="0" w:beforeAutospacing="0" w:after="0" w:afterAutospacing="0"/>
              <w:ind w:firstLine="346"/>
              <w:jc w:val="both"/>
              <w:rPr>
                <w:sz w:val="23"/>
                <w:szCs w:val="23"/>
              </w:rPr>
            </w:pPr>
            <w:r w:rsidRPr="00271507">
              <w:rPr>
                <w:sz w:val="23"/>
                <w:szCs w:val="23"/>
              </w:rPr>
              <w:t xml:space="preserve">Найбільш привабливими для іноземних інвесторів залишаються промислові підприємства, на яких зосереджено 148,4 млн.дол. США (75,8% всього капіталу нерезидентів). На підприємствах сільського, лісового та рибного  господарства  акумульовано 22,2 млн.дол. (11,4% загального обсягу) прямих </w:t>
            </w:r>
            <w:r w:rsidRPr="00271507">
              <w:rPr>
                <w:sz w:val="23"/>
                <w:szCs w:val="23"/>
              </w:rPr>
              <w:lastRenderedPageBreak/>
              <w:t>інвестицій, в організаціях, що здійснюють операції з нерухомим майном – 8,7 млн.дол. (4,4%), оптової та роздрібної торгівлі; ремонту автотранспортних засобів і мотоциклів – 7,7 млн.дол. (3,9%).</w:t>
            </w:r>
          </w:p>
          <w:p w:rsidR="009543EB" w:rsidRPr="00AA645C" w:rsidRDefault="000F3652" w:rsidP="00271507">
            <w:pPr>
              <w:pStyle w:val="af0"/>
              <w:shd w:val="clear" w:color="auto" w:fill="FFFFFF"/>
              <w:spacing w:before="0" w:beforeAutospacing="0" w:after="0" w:afterAutospacing="0"/>
              <w:ind w:firstLine="346"/>
              <w:jc w:val="both"/>
              <w:rPr>
                <w:highlight w:val="yellow"/>
              </w:rPr>
            </w:pPr>
            <w:r w:rsidRPr="00271507">
              <w:rPr>
                <w:sz w:val="23"/>
                <w:szCs w:val="23"/>
              </w:rPr>
              <w:t>Вагому частку (53,4%) іноземного капіталу зосереджено у м.Вінниці – 104,5 млн.дол. Також, значні обсяги іноземних інвестицій зосереджено у Козятинському районі – 21,3 млн.дол. (10,9%), Барському – 9,6 млн.дол. (4,9%), Вінницькому – 7,5 млн.дол. (3,9%), Тиврівському – 7,2 млн.дол. (3,7%) та Тульчинському – 6,8 млн.дол. (3,5%).</w:t>
            </w:r>
          </w:p>
        </w:tc>
      </w:tr>
      <w:tr w:rsidR="009543EB" w:rsidRPr="00514059" w:rsidTr="00A30F72">
        <w:trPr>
          <w:trHeight w:val="489"/>
        </w:trPr>
        <w:tc>
          <w:tcPr>
            <w:tcW w:w="1418" w:type="dxa"/>
            <w:tcBorders>
              <w:left w:val="nil"/>
              <w:right w:val="nil"/>
            </w:tcBorders>
            <w:shd w:val="clear" w:color="auto" w:fill="FFFFFF"/>
            <w:vAlign w:val="center"/>
          </w:tcPr>
          <w:p w:rsidR="009543EB" w:rsidRPr="00A30F72" w:rsidRDefault="009543EB" w:rsidP="00A30F72">
            <w:pPr>
              <w:jc w:val="center"/>
              <w:rPr>
                <w:b/>
                <w:bCs/>
                <w:i/>
              </w:rPr>
            </w:pPr>
          </w:p>
          <w:p w:rsidR="009543EB" w:rsidRPr="00A30F72" w:rsidRDefault="009543EB" w:rsidP="00A30F72">
            <w:pPr>
              <w:jc w:val="center"/>
              <w:rPr>
                <w:b/>
                <w:bCs/>
                <w:i/>
              </w:rPr>
            </w:pPr>
          </w:p>
        </w:tc>
        <w:tc>
          <w:tcPr>
            <w:tcW w:w="9072" w:type="dxa"/>
            <w:tcBorders>
              <w:left w:val="nil"/>
              <w:right w:val="nil"/>
            </w:tcBorders>
            <w:shd w:val="clear" w:color="auto" w:fill="FFFFFF"/>
            <w:vAlign w:val="center"/>
          </w:tcPr>
          <w:p w:rsidR="009543EB" w:rsidRPr="00A30F72" w:rsidRDefault="009543EB" w:rsidP="00A30F72">
            <w:pPr>
              <w:jc w:val="center"/>
              <w:rPr>
                <w:b/>
                <w:bCs/>
              </w:rPr>
            </w:pPr>
            <w:r w:rsidRPr="00A30F72">
              <w:rPr>
                <w:b/>
                <w:bCs/>
              </w:rPr>
              <w:t>ЕФЕКТИВНІСТЬ РОБОТИ ГОСПОДАРСЬКОГО КОМПЛЕКСУ</w:t>
            </w:r>
          </w:p>
        </w:tc>
      </w:tr>
      <w:tr w:rsidR="009543EB" w:rsidRPr="00514059" w:rsidTr="00D72158">
        <w:trPr>
          <w:trHeight w:val="70"/>
        </w:trPr>
        <w:tc>
          <w:tcPr>
            <w:tcW w:w="1418" w:type="dxa"/>
            <w:shd w:val="clear" w:color="auto" w:fill="FFFFFF"/>
          </w:tcPr>
          <w:p w:rsidR="009543EB" w:rsidRPr="00C11FDE" w:rsidRDefault="009543EB" w:rsidP="002D1625">
            <w:pPr>
              <w:jc w:val="both"/>
              <w:rPr>
                <w:b/>
              </w:rPr>
            </w:pPr>
            <w:r w:rsidRPr="00C11FDE">
              <w:rPr>
                <w:b/>
                <w:i/>
              </w:rPr>
              <w:t>Фінансовий результат господарської діяльності</w:t>
            </w:r>
            <w:r w:rsidRPr="00C11FDE">
              <w:rPr>
                <w:b/>
              </w:rPr>
              <w:t xml:space="preserve"> (</w:t>
            </w:r>
            <w:r w:rsidRPr="00C11FDE">
              <w:rPr>
                <w:b/>
                <w:i/>
              </w:rPr>
              <w:t>по бухгалтерському обліку</w:t>
            </w:r>
            <w:r w:rsidRPr="00C11FDE">
              <w:rPr>
                <w:b/>
              </w:rPr>
              <w:t>)</w:t>
            </w:r>
          </w:p>
          <w:p w:rsidR="009543EB" w:rsidRPr="00514059" w:rsidRDefault="009543EB" w:rsidP="002D1625">
            <w:pPr>
              <w:jc w:val="both"/>
              <w:rPr>
                <w:b/>
                <w:bCs/>
                <w:i/>
                <w:highlight w:val="yellow"/>
              </w:rPr>
            </w:pPr>
          </w:p>
        </w:tc>
        <w:tc>
          <w:tcPr>
            <w:tcW w:w="9072" w:type="dxa"/>
          </w:tcPr>
          <w:p w:rsidR="00A30F72" w:rsidRDefault="00A30F72" w:rsidP="00A30F72">
            <w:pPr>
              <w:tabs>
                <w:tab w:val="left" w:pos="2712"/>
              </w:tabs>
              <w:ind w:firstLine="346"/>
              <w:jc w:val="both"/>
            </w:pPr>
            <w:r>
              <w:t xml:space="preserve">Незважаючи на зовнішні та внутрішні виклики, значна кількість суб’єктів господарської діяльності області спрацювали за січень – вересень 2017 року  ефективно. </w:t>
            </w:r>
          </w:p>
          <w:p w:rsidR="00A30F72" w:rsidRDefault="00A30F72" w:rsidP="00A30F72">
            <w:pPr>
              <w:tabs>
                <w:tab w:val="left" w:pos="2712"/>
              </w:tabs>
              <w:ind w:firstLine="346"/>
              <w:jc w:val="both"/>
            </w:pPr>
            <w:r>
              <w:t>Відповідно до даних Головного управління статистики у Вінницькій області за січень – вересень 2017 року  позитивний сальдовий фінансовий результат до оподаткування  великих та середніх підприємств області  становив 888,4 млн.грн. прибутку та в порівнянні із відповідним періодом минулого року збільшився на 15,2%  або на 116,9 млн.грн.</w:t>
            </w:r>
          </w:p>
          <w:p w:rsidR="00A30F72" w:rsidRDefault="00A30F72" w:rsidP="00A30F72">
            <w:pPr>
              <w:tabs>
                <w:tab w:val="left" w:pos="2712"/>
              </w:tabs>
              <w:ind w:firstLine="346"/>
              <w:jc w:val="both"/>
            </w:pPr>
            <w:r>
              <w:t xml:space="preserve">Прибутково спрацювали 74,5% (-1,4 в.п.) підприємств,  обсяг їх прибутку  складає 1969,7 млн.грн. і проти відповідного періоду минулого року збільшився  на 7,0% або на 128,9 млн.грн. </w:t>
            </w:r>
          </w:p>
          <w:p w:rsidR="00A30F72" w:rsidRDefault="00A30F72" w:rsidP="00A30F72">
            <w:pPr>
              <w:tabs>
                <w:tab w:val="left" w:pos="2712"/>
              </w:tabs>
              <w:ind w:firstLine="346"/>
              <w:jc w:val="both"/>
            </w:pPr>
            <w:r>
              <w:t>Більше 1 мільйону гривень прибутку до оподаткування за 9 місяців 2017 року одержали 122 підприємства області  (на 7 підприємств менше ніж за аналогічний період 2016 року).</w:t>
            </w:r>
          </w:p>
          <w:p w:rsidR="00A30F72" w:rsidRDefault="00A30F72" w:rsidP="00A30F72">
            <w:pPr>
              <w:tabs>
                <w:tab w:val="left" w:pos="2712"/>
              </w:tabs>
              <w:ind w:firstLine="346"/>
              <w:jc w:val="both"/>
            </w:pPr>
            <w:r>
              <w:t xml:space="preserve">Найбільший вплив на результати діяльності економіки області мала діяльність підприємств промисловості, які за січень – вересень 2017 року  спрацювали з позитивним фінансовим результатом у сумі 1046,7 млн.грн. прибутку, який до рівня відповідного періоду 2016 року зменшився на 3,1% або на 33,8 млн.грн. Питома вага прибуткових промислових підприємств збільшилась  на 3,5 в.п. і склала 75,9%. Загалом прибутковими підприємствами отримано 1468,6 млн.грн прибутків, що на 3,7% або на 55,9 млн.грн. менше ніж у січні-вересні 2016 року.  У структурі прибутку прибуткових підприємств в цілому по всіх видах діяльності прибуток прибуткових промислових підприємств займає 74,6%. </w:t>
            </w:r>
          </w:p>
          <w:p w:rsidR="00A30F72" w:rsidRDefault="00A30F72" w:rsidP="00A30F72">
            <w:pPr>
              <w:tabs>
                <w:tab w:val="left" w:pos="2712"/>
              </w:tabs>
              <w:ind w:firstLine="346"/>
              <w:jc w:val="both"/>
            </w:pPr>
            <w:r>
              <w:t>Найкраще серед промислових підприємств спрацювали підприємства переробної промисловості обсяг позитивного фінансового результату яких, отриманий за січень-вересень 2017 року, в порівнянні з аналогічним періодом 2016  року зменшився на 9,6% або на 61,0 млн.грн. і склав 572,8 млн.грн. Частка прибутково працюючих підприємств зросла  1,1 в.п.  і   склала 82,2%, а сума отриманого ними прибутку зменшилась на 10,6% або на 102,7 млн.грн. і склала 868,1 млн.грн. (59,1 % від прибутків прибуткових промислових підприємств).</w:t>
            </w:r>
          </w:p>
          <w:p w:rsidR="00A30F72" w:rsidRDefault="00A30F72" w:rsidP="00A30F72">
            <w:pPr>
              <w:tabs>
                <w:tab w:val="left" w:pos="2712"/>
              </w:tabs>
              <w:ind w:firstLine="346"/>
              <w:jc w:val="both"/>
            </w:pPr>
            <w:r>
              <w:t>Серед галузей переробної промисловості найкраще спрацювали підприємства з виробництва харчових продуктів, напоїв і тютюнових виробів,  якими  за 9 місяців 2017 року  отримано 309,0 млн.грн. прибутку, що  на 65,3 млн.грн. або на 26,8% більше, як за відповідний період 2016 року. Прибутково спрацювали 76,6% (-1,4 в.п.) підприємств харчової галузі, сума їх прибутку збільшилась на 0,7% і склала 549,7 млн.грн. (63,3% в структурі прибутку прибуткових підприємств переробної промисловості).</w:t>
            </w:r>
          </w:p>
          <w:p w:rsidR="00A30F72" w:rsidRDefault="00A30F72" w:rsidP="00A30F72">
            <w:pPr>
              <w:tabs>
                <w:tab w:val="left" w:pos="2712"/>
              </w:tabs>
              <w:ind w:firstLine="346"/>
              <w:jc w:val="both"/>
            </w:pPr>
            <w:r>
              <w:t>Також прибутково в цілому спрацювали переробні підприємства наступних видів діяльності, в т.ч.:</w:t>
            </w:r>
          </w:p>
          <w:p w:rsidR="00A30F72" w:rsidRDefault="00A30F72" w:rsidP="00A30F72">
            <w:pPr>
              <w:tabs>
                <w:tab w:val="left" w:pos="2712"/>
              </w:tabs>
              <w:ind w:firstLine="346"/>
              <w:jc w:val="both"/>
            </w:pPr>
            <w:r>
              <w:t xml:space="preserve">- машинобудування – 108,3 млн.грн. прибутку, обсяг якого збільшився  на 8,5% або на 8,5 млн.грн., частка прибуткових підприємств становить 90,5% (+7,9 в.п.); </w:t>
            </w:r>
          </w:p>
          <w:p w:rsidR="00A30F72" w:rsidRDefault="00A30F72" w:rsidP="00A30F72">
            <w:pPr>
              <w:tabs>
                <w:tab w:val="left" w:pos="2712"/>
              </w:tabs>
              <w:ind w:firstLine="346"/>
              <w:jc w:val="both"/>
            </w:pPr>
            <w:r>
              <w:t>- виробництво гумових і пластмасових виробів, іншої неметалевої мінеральної продукції - 27,5 млн.грн. прибутку, який скоротився на 28,9% або на 11,2 млн.грн., прибутково спрацювали 89,5% підприємств (+11,7 в.п.);</w:t>
            </w:r>
          </w:p>
          <w:p w:rsidR="00A30F72" w:rsidRDefault="00A30F72" w:rsidP="00A30F72">
            <w:pPr>
              <w:tabs>
                <w:tab w:val="left" w:pos="2712"/>
              </w:tabs>
              <w:ind w:firstLine="346"/>
              <w:jc w:val="both"/>
            </w:pPr>
            <w:r>
              <w:t xml:space="preserve">- текстильне виробництво, виробництво одягу, шкіри, виробів зі шкіри та інших матеріалів – 16,6 млн.грн. прибутку, що скоротився на 27,5% або на 6,3 млн.грн., 100%  прибуткових підприємств (+20 в.п.);  </w:t>
            </w:r>
          </w:p>
          <w:p w:rsidR="00A30F72" w:rsidRDefault="00A30F72" w:rsidP="00A30F72">
            <w:pPr>
              <w:tabs>
                <w:tab w:val="left" w:pos="2712"/>
              </w:tabs>
              <w:ind w:firstLine="346"/>
              <w:jc w:val="both"/>
            </w:pPr>
            <w:r>
              <w:lastRenderedPageBreak/>
              <w:t>-  металургійне виробництво, виробництво готових металевих виробів, крім машин і устаткування – 16,0 млн.грн. прибутку, що скоротився на 45,6% або на 13,4 млн.грн., 77,8%  прибуткових підприємств (-11,1.п.);</w:t>
            </w:r>
          </w:p>
          <w:p w:rsidR="00A30F72" w:rsidRDefault="00A30F72" w:rsidP="00A30F72">
            <w:pPr>
              <w:tabs>
                <w:tab w:val="left" w:pos="2712"/>
              </w:tabs>
              <w:ind w:firstLine="346"/>
              <w:jc w:val="both"/>
            </w:pPr>
            <w:r>
              <w:t>- виробництво меблів, іншої продукції; ремонт і монтаж машин і устаткування –15,0 млн.грн. прибутку, який зріс майже в 1,5 рази або на 4,8 млн.грн., 80% (-20 в.п.) підприємств даного виду діяльності спрацювали прибутково.</w:t>
            </w:r>
          </w:p>
          <w:p w:rsidR="00A30F72" w:rsidRDefault="00A30F72" w:rsidP="00A30F72">
            <w:pPr>
              <w:tabs>
                <w:tab w:val="left" w:pos="2712"/>
              </w:tabs>
              <w:ind w:firstLine="346"/>
              <w:jc w:val="both"/>
            </w:pPr>
            <w:r>
              <w:t>Значний  вплив на результати діяльності економіки області за звітний період мала прибуткова діяльність підприємств  з постачання електроенергії, газу, пари та кондиційованого повітря,  обсяг позитивного фінансового результату яких, отриманого за січень – вересень 2017 року, в порівнянні з аналогічним періодом 2016  року зменшився на 7,1% або на 23,0 млн.грн. і склав 302,7 млн.грн. Частка прибутково працюючих підприємств зменшилась на 5,6 в.п.  і   склала 50,0%, а сума отриманого ними прибутку збільшилась на 14,0% або на 51,9 млн.грн. і склала 421,7 млн.грн. (28,7 % від прибутків прибуткових промислових підприємств).</w:t>
            </w:r>
          </w:p>
          <w:p w:rsidR="00A30F72" w:rsidRDefault="00A30F72" w:rsidP="00A30F72">
            <w:pPr>
              <w:tabs>
                <w:tab w:val="left" w:pos="2712"/>
              </w:tabs>
              <w:ind w:firstLine="346"/>
              <w:jc w:val="both"/>
            </w:pPr>
            <w:r>
              <w:t>Підприємства добувної промисловості і розроблення кар’єрів за січень-вересень 2017 року спрацювали з прибутковим фінансовим результатом у сумі 171,3 млн.грн. прибутку, що  на 23,8%  або на 32,9 млн.грн. менше, як за відповідний період минулого року. Прибутково спрацювали 83,3% (+33,3 в.п.) підприємств, сума їх прибутку зменшилась на 3,1%  і склала 175,0 млн.грн. (11,9% в структурі прибутку прибуткових промислових підприємств).</w:t>
            </w:r>
          </w:p>
          <w:p w:rsidR="00A30F72" w:rsidRDefault="00A30F72" w:rsidP="00A30F72">
            <w:pPr>
              <w:tabs>
                <w:tab w:val="left" w:pos="2712"/>
              </w:tabs>
              <w:ind w:firstLine="346"/>
              <w:jc w:val="both"/>
            </w:pPr>
            <w:r>
              <w:t xml:space="preserve"> Вплинула на результати діяльності економіки області  діяльність підприємств сільського, лісового та рибного господарства, якими  за січень-вересень 2017 року отримано 57,8 млн.грн. прибутку, що в 1,8 рази або на 25,9 млн.грн. більше, як за відповідний період минулого року. Частка прибутково працюючих  підприємств не змінилася і склала 93,7%, а сума отриманого ними прибутку зросла на 43,1%  або на 19,3 млн.грн. і  склала 64,0 млн.грн. </w:t>
            </w:r>
          </w:p>
          <w:p w:rsidR="00A30F72" w:rsidRDefault="00A30F72" w:rsidP="00A30F72">
            <w:pPr>
              <w:tabs>
                <w:tab w:val="left" w:pos="2712"/>
              </w:tabs>
              <w:ind w:firstLine="346"/>
              <w:jc w:val="both"/>
            </w:pPr>
          </w:p>
          <w:p w:rsidR="00A30F72" w:rsidRDefault="00A30F72" w:rsidP="00A30F72">
            <w:pPr>
              <w:tabs>
                <w:tab w:val="left" w:pos="2712"/>
              </w:tabs>
              <w:ind w:firstLine="346"/>
              <w:jc w:val="both"/>
            </w:pPr>
            <w:r>
              <w:t>Серед підприємств непромислових видів економічної діяльності зі значним прибутковим фінансовим результатом спрацювали підприємства, що працюють у сфері  будівництва,  сальдовий фінансовий результат яких за   9 місяців  2017 року склав 127,1 млн.грн. прибуткуі  в порівнянні із  відповідним періодом 2016 року зріс майже в 3 рази або на 84,1 млн.грн., прибутково спрацювали 82,6% (-3,1 в.п.) підприємств, сума отриманого ними прибутку зросла в 3,5 рази  або на 155,1 млн.грн. і  склала 216,8 млн.грн.</w:t>
            </w:r>
          </w:p>
          <w:p w:rsidR="00A30F72" w:rsidRDefault="00A30F72" w:rsidP="00A30F72">
            <w:pPr>
              <w:tabs>
                <w:tab w:val="left" w:pos="2712"/>
              </w:tabs>
              <w:ind w:firstLine="346"/>
              <w:jc w:val="both"/>
            </w:pPr>
            <w:r>
              <w:t xml:space="preserve">Також прибутково в цілому спрацювали підприємства наступних видів діяльності: </w:t>
            </w:r>
          </w:p>
          <w:p w:rsidR="00A30F72" w:rsidRDefault="00A30F72" w:rsidP="00A30F72">
            <w:pPr>
              <w:tabs>
                <w:tab w:val="left" w:pos="2712"/>
              </w:tabs>
              <w:ind w:firstLine="346"/>
              <w:jc w:val="both"/>
            </w:pPr>
            <w:r>
              <w:t>- інформації та телекомунікації -51,0 млн.грн. прибутку, що скоротився на 21,5% або на 15,0 млн.грн., 100% підприємств зазначеного виду діяльності спрацювали прибутково;</w:t>
            </w:r>
          </w:p>
          <w:p w:rsidR="009543EB" w:rsidRPr="00AA645C" w:rsidRDefault="00A30F72" w:rsidP="000D6B14">
            <w:pPr>
              <w:widowControl w:val="0"/>
              <w:ind w:firstLine="346"/>
              <w:jc w:val="both"/>
              <w:rPr>
                <w:rStyle w:val="s11"/>
                <w:rFonts w:ascii="Times New Roman" w:hAnsi="Times New Roman"/>
                <w:color w:val="auto"/>
                <w:sz w:val="24"/>
              </w:rPr>
            </w:pPr>
            <w:r>
              <w:t>- охорона здоров’я  та надання соціальної допомоги – 10,7 млн.грн. прибутку, який зріс на 30,5% або на 2,5 млн.грн.,  77,8% прибуткових підприємств (- 22,2 в.п. ), сума їх прибутків збільшилася   на 34,3%   і складає 10,9 млн.грн. і таке інше.</w:t>
            </w:r>
          </w:p>
        </w:tc>
      </w:tr>
    </w:tbl>
    <w:p w:rsidR="009543EB" w:rsidRPr="001F2EF3" w:rsidRDefault="009543EB" w:rsidP="00873D14">
      <w:pPr>
        <w:spacing w:before="120" w:after="120"/>
        <w:jc w:val="center"/>
        <w:rPr>
          <w:b/>
        </w:rPr>
      </w:pPr>
      <w:r w:rsidRPr="001F2EF3">
        <w:rPr>
          <w:b/>
        </w:rPr>
        <w:lastRenderedPageBreak/>
        <w:t>ПОДАТКОВІ НАДХОДЖЕННЯ</w:t>
      </w: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818"/>
      </w:tblGrid>
      <w:tr w:rsidR="00A345EE" w:rsidRPr="00514059" w:rsidTr="00B300D6">
        <w:trPr>
          <w:trHeight w:val="424"/>
        </w:trPr>
        <w:tc>
          <w:tcPr>
            <w:tcW w:w="1418" w:type="dxa"/>
          </w:tcPr>
          <w:p w:rsidR="00A345EE" w:rsidRPr="001F2EF3" w:rsidRDefault="00A345EE" w:rsidP="002D1625">
            <w:pPr>
              <w:jc w:val="both"/>
              <w:rPr>
                <w:b/>
                <w:i/>
                <w:iCs/>
              </w:rPr>
            </w:pPr>
            <w:r w:rsidRPr="001F2EF3">
              <w:rPr>
                <w:b/>
                <w:i/>
                <w:iCs/>
              </w:rPr>
              <w:t>Виконання показників Зведеного та Державного бюджетів</w:t>
            </w:r>
          </w:p>
        </w:tc>
        <w:tc>
          <w:tcPr>
            <w:tcW w:w="8818" w:type="dxa"/>
          </w:tcPr>
          <w:p w:rsidR="00BB3C49" w:rsidRPr="000D6B14" w:rsidRDefault="00BB3C49" w:rsidP="00BB3C49">
            <w:pPr>
              <w:snapToGrid w:val="0"/>
              <w:ind w:firstLine="346"/>
              <w:jc w:val="both"/>
            </w:pPr>
            <w:r w:rsidRPr="000D6B14">
              <w:t>В області продовжується позитивна тенденція зростання надходжень до бюджетів усіх рівнів.</w:t>
            </w:r>
          </w:p>
          <w:p w:rsidR="00BB3C49" w:rsidRPr="000D6B14" w:rsidRDefault="00BB3C49" w:rsidP="00BB3C49">
            <w:pPr>
              <w:snapToGrid w:val="0"/>
              <w:ind w:firstLine="346"/>
              <w:jc w:val="both"/>
            </w:pPr>
            <w:r w:rsidRPr="000D6B14">
              <w:t xml:space="preserve">Відповідно до оперативних </w:t>
            </w:r>
            <w:r w:rsidR="00F629C1" w:rsidRPr="00F629C1">
              <w:t>даних</w:t>
            </w:r>
            <w:r w:rsidRPr="000D6B14">
              <w:t xml:space="preserve">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січень-листопад 2017 року  в порівнянні з  відповідним періодом 2016 року на 49,4% або на 4529,0 млн.грн. і становлять 13708,9 млн.грн. В тому числі надходження до Державного бюджету склали 6596,0 млн.грн.,  їх обсяг збільшився майже у 1,6 рази або на 2445,9 млн.грн. </w:t>
            </w:r>
          </w:p>
          <w:p w:rsidR="00BB3C49" w:rsidRPr="000D6B14" w:rsidRDefault="00BB3C49" w:rsidP="00BB3C49">
            <w:pPr>
              <w:ind w:firstLine="346"/>
              <w:jc w:val="both"/>
            </w:pPr>
            <w:r w:rsidRPr="000D6B14">
              <w:t xml:space="preserve">В тому числі, відповідно до даних  Головного управління ДФС у Вінницькій області протягом січня-листопада 2017 року до бюджетів усіх рівнів зібрано 10448,9 </w:t>
            </w:r>
            <w:r w:rsidRPr="000D6B14">
              <w:lastRenderedPageBreak/>
              <w:t>млн.грн. податків і зборів (з урахуванням надходжень 228,8 млн.грн. податку на прибуток по великих платниках податків (далі - ВПП)), що на 37,6% або на 2855,8 млн.грн. більше ніж у січні-листопаді 2016 року.</w:t>
            </w:r>
          </w:p>
          <w:p w:rsidR="00BB3C49" w:rsidRPr="000D6B14" w:rsidRDefault="00BB3C49" w:rsidP="00BB3C49">
            <w:pPr>
              <w:ind w:firstLine="346"/>
              <w:jc w:val="both"/>
            </w:pPr>
            <w:r w:rsidRPr="000D6B14">
              <w:t>До Державного бюджету протягом звітного періоду зібрано 4741,7 млн.грн, що на 42,4%  або на 1411,1 млн.грн. більше збору платежів за аналогічний період  2016 року.</w:t>
            </w:r>
          </w:p>
          <w:p w:rsidR="00BB3C49" w:rsidRPr="000D6B14" w:rsidRDefault="00BB3C49" w:rsidP="00BB3C49">
            <w:pPr>
              <w:ind w:firstLine="346"/>
              <w:jc w:val="both"/>
            </w:pPr>
            <w:r w:rsidRPr="000D6B14">
              <w:t>Позитивний вплив на зростання надходжень платежів до Державного бюджету мали зміни, внесені до Податкового кодексу України, щодо скасування пільгового оподаткування податком на додану вартість сільгоспвиробників.</w:t>
            </w:r>
          </w:p>
          <w:p w:rsidR="00BB3C49" w:rsidRPr="000D6B14" w:rsidRDefault="00BB3C49" w:rsidP="00BB3C49">
            <w:pPr>
              <w:ind w:firstLine="346"/>
              <w:jc w:val="both"/>
            </w:pPr>
            <w:r w:rsidRPr="000D6B14">
              <w:t>Обсяг збору платежів до Державного бюджету на території області збільшується, незважаючи на сплату поза межами області частини податків (ПДВ, акцизний податок, військовий збір тощо)  33 підприємствами області, включеними до Реєстру великих платників на 2017 рік (16 платників за підсумками 2016 року, 17 платників – з Реєстру на 2016 рік) та переведеними на обслуговування до Офісу великих платників податків ДФС. Протягом січня-листопада  2017 року  від цих платників на території області до державного бюджету надійшло 267,6 млн.грн. (в т.ч.: 205,9 млн.грн. податку на прибуток,  56,2 млн.грн. - ПДФО), що   у 2,3 рази менше ніж за аналогічний період 2016 року  - коли їх надходження складали  615,3 млн.грн. (в т.ч.: 319,2 млн.грн. - податку на прибуток, 230,1</w:t>
            </w:r>
            <w:r w:rsidRPr="000D6B14">
              <w:rPr>
                <w:lang w:val="ru-RU"/>
              </w:rPr>
              <w:t> </w:t>
            </w:r>
            <w:r w:rsidRPr="000D6B14">
              <w:t>млн.грн.- ПДВ,      39,9 млн.грн. -  ПДФО, 12,7</w:t>
            </w:r>
            <w:r w:rsidRPr="000D6B14">
              <w:rPr>
                <w:lang w:val="ru-RU"/>
              </w:rPr>
              <w:t> </w:t>
            </w:r>
            <w:r w:rsidRPr="000D6B14">
              <w:t>млн.грн. - військового збору, 8,4 млн.грн. - збору на цільову надбавку за газ та 5,0 млн.грн. – інших платежів).</w:t>
            </w:r>
          </w:p>
          <w:p w:rsidR="00BB3C49" w:rsidRPr="000D6B14" w:rsidRDefault="00BB3C49" w:rsidP="00BB3C49">
            <w:pPr>
              <w:ind w:firstLine="346"/>
              <w:jc w:val="both"/>
            </w:pPr>
            <w:r w:rsidRPr="000D6B14">
              <w:t>З урахуванням бюджетного відшкодування грошовими коштами податку на додану  вартість (обсяг – 602,9 тис.грн., тоді  як за 11 місяців  2016  року – 896,4 млн.грн.), фактичні надходження до Зведеного бюджету за  січень-листопад 2017 року склали 9845,9 млн.грн. (в порівнянні з аналогічним періодом 2016 року зросли на 3149,3 млн.грн.  або   на 47,0%), а до Державного бюджету - відповідно 4138,7 млн.грн. (зросли на 1704,6 млн.грн. або  в 1,7 рази).</w:t>
            </w:r>
          </w:p>
          <w:p w:rsidR="00BB3C49" w:rsidRPr="000D6B14" w:rsidRDefault="00BB3C49" w:rsidP="00BB3C49">
            <w:pPr>
              <w:ind w:firstLine="346"/>
              <w:jc w:val="both"/>
            </w:pPr>
            <w:r w:rsidRPr="000D6B14">
              <w:t>Питома вага надходжень до державного бюджету у структурі бюджетів усіх рівнів зросла на 5,7 відсоткових пунктів і складає 42,0% (частка збору податків і зборів в  сумі загального збору зросла  на 1,5 в.п. і складає 45,4%).</w:t>
            </w:r>
          </w:p>
          <w:p w:rsidR="00BB3C49" w:rsidRPr="000D6B14" w:rsidRDefault="00BB3C49" w:rsidP="00BB3C49">
            <w:pPr>
              <w:ind w:firstLine="346"/>
              <w:jc w:val="both"/>
            </w:pPr>
            <w:r w:rsidRPr="000D6B14">
              <w:t>В структурі надходжень до Зведеного бюджету по Вінницькій області за січень-листопад  2017 року найбільшу питому вагу займають: податок з доходів фізичних осіб – 48,3% (4751,2 млн.грн.), податок на додану вартість (сальдо) – 18,1% (1779,7 млн.грн.), єдиний податок – 9,1% (785,4 млн.грн.), плата за землю – 7,3% (626,5 млн.грн.), податок на прибуток – 6,4% (626,3 млн.грн.), військовий збір – 3,9% (380,2 млн.грн.), акцизний податок з реалізації суб’єктами господарювання роздрібної торгівлі підакцизних товарів – 1,6% (160,9 млн. грн.) та інші.</w:t>
            </w:r>
          </w:p>
          <w:p w:rsidR="00C11FDE" w:rsidRPr="00C11FDE" w:rsidRDefault="00BB3C49" w:rsidP="00F629C1">
            <w:pPr>
              <w:ind w:firstLine="346"/>
              <w:jc w:val="both"/>
            </w:pPr>
            <w:r w:rsidRPr="000D6B14">
              <w:t>В січні-листопаді 2017 року  забезпечено приріст надходжень до Зведеного   бюджету: податку на додану вартість з вироблених в Україні товарів (сальдо) – майже в 2,9 рази (+1156,6</w:t>
            </w:r>
            <w:r w:rsidRPr="000D6B14">
              <w:rPr>
                <w:lang w:val="en-US"/>
              </w:rPr>
              <w:t> </w:t>
            </w:r>
            <w:r w:rsidRPr="000D6B14">
              <w:t>млн.грн.), податку на доходи фізичних осіб – на 48,4% (+1550,1 млн.грн.), військового збору – на 41,5% (+111,4</w:t>
            </w:r>
            <w:r w:rsidRPr="000D6B14">
              <w:rPr>
                <w:lang w:val="en-US"/>
              </w:rPr>
              <w:t> </w:t>
            </w:r>
            <w:r w:rsidRPr="000D6B14">
              <w:t>млн.грн.), частини  прибутку (доходу) господарських організацій, що вилучається до бюджету – майже в 1,6 рази (+21,7 млн.грн.), єдиного податку – на 34,3%  (+</w:t>
            </w:r>
            <w:r w:rsidRPr="000D6B14">
              <w:rPr>
                <w:lang w:val="ru-RU"/>
              </w:rPr>
              <w:t>228</w:t>
            </w:r>
            <w:r w:rsidRPr="000D6B14">
              <w:t>,2</w:t>
            </w:r>
            <w:r w:rsidRPr="000D6B14">
              <w:rPr>
                <w:lang w:val="en-US"/>
              </w:rPr>
              <w:t> </w:t>
            </w:r>
            <w:r w:rsidRPr="000D6B14">
              <w:t xml:space="preserve">млн.грн.), податку на нерухоме майно, відмінне від земельної ділянки – майже у 2,3 рази (+34,0 млн.грн.). </w:t>
            </w:r>
          </w:p>
        </w:tc>
      </w:tr>
      <w:tr w:rsidR="00A345EE" w:rsidRPr="00514059" w:rsidTr="00B300D6">
        <w:trPr>
          <w:trHeight w:val="565"/>
        </w:trPr>
        <w:tc>
          <w:tcPr>
            <w:tcW w:w="1418" w:type="dxa"/>
          </w:tcPr>
          <w:p w:rsidR="00A345EE" w:rsidRPr="001F2EF3" w:rsidRDefault="00A345EE" w:rsidP="002D1625">
            <w:pPr>
              <w:jc w:val="both"/>
              <w:rPr>
                <w:b/>
                <w:i/>
              </w:rPr>
            </w:pPr>
            <w:r w:rsidRPr="001F2EF3">
              <w:rPr>
                <w:b/>
                <w:i/>
              </w:rPr>
              <w:lastRenderedPageBreak/>
              <w:t>Податкова недоїмка</w:t>
            </w:r>
          </w:p>
          <w:p w:rsidR="00A345EE" w:rsidRPr="00514059" w:rsidRDefault="00A345EE" w:rsidP="002D1625">
            <w:pPr>
              <w:jc w:val="both"/>
              <w:rPr>
                <w:b/>
                <w:i/>
                <w:iCs/>
                <w:highlight w:val="yellow"/>
              </w:rPr>
            </w:pPr>
          </w:p>
        </w:tc>
        <w:tc>
          <w:tcPr>
            <w:tcW w:w="8818" w:type="dxa"/>
          </w:tcPr>
          <w:p w:rsidR="00BB3C49" w:rsidRPr="00BB3C49" w:rsidRDefault="00BB3C49" w:rsidP="00BB3C49">
            <w:pPr>
              <w:ind w:firstLine="346"/>
              <w:jc w:val="both"/>
            </w:pPr>
            <w:r w:rsidRPr="00BB3C49">
              <w:t>Станом на 01.12.2017 податковий борг до Зведеного бюджету, з урахуванням боргу банкрутів, складає 720,1 млн.грн, з якого 483,6 млн.грн. (67,2%) - борг з платежів до Державного бюджету. Зокрема, податкова заборгованість по ПДВ складає 315,2 млн.грн., податку на прибуток – 101,8 млн.грн., ПДФО – 120,9 млн.грн., платі за землю – 82,0 млн.грн., акцизному податку – 14,5 млн.грн., інших податках та зборах – 85,7 млн.грн.</w:t>
            </w:r>
          </w:p>
          <w:p w:rsidR="00BB3C49" w:rsidRPr="00BB3C49" w:rsidRDefault="00BB3C49" w:rsidP="00BB3C49">
            <w:pPr>
              <w:ind w:firstLine="346"/>
              <w:jc w:val="both"/>
            </w:pPr>
            <w:r w:rsidRPr="00BB3C49">
              <w:t>Протягом січня-листопада 2017 року податкова заборгованість до Зведеного бюджету в цілому по області збільшилась на 100,1 млн.грн. або на 16,2%, в т.ч. до Державного бюджету - на 31,0 млн.грн. або на 6,9%, до місцевих бюджетів –на 69,1 млн.грн. або на 41,3%.</w:t>
            </w:r>
          </w:p>
          <w:p w:rsidR="00A345EE" w:rsidRPr="00514059" w:rsidRDefault="00BB3C49" w:rsidP="00BB3C49">
            <w:pPr>
              <w:pStyle w:val="a5"/>
              <w:ind w:firstLine="346"/>
              <w:rPr>
                <w:b w:val="0"/>
                <w:sz w:val="24"/>
                <w:highlight w:val="yellow"/>
              </w:rPr>
            </w:pPr>
            <w:r w:rsidRPr="00BB3C49">
              <w:rPr>
                <w:b w:val="0"/>
                <w:sz w:val="24"/>
              </w:rPr>
              <w:lastRenderedPageBreak/>
              <w:t>Приріст боргу допущено по ПДФО – на 38,2 млн.грн.; по ПДВ - на 23,4 млн.грн.; по платі за землю - на 20,9 млн.грн.; по інших податках і зборах – на 35,1 млн.грн. Разом з тим, скорочено податковий борг по податку на прибуток – на 17,4 млн.грн. та по акцизному податку на 0,1 млн.грн</w:t>
            </w:r>
            <w:r w:rsidR="00895BB4" w:rsidRPr="00BB3C49">
              <w:rPr>
                <w:b w:val="0"/>
                <w:sz w:val="24"/>
              </w:rPr>
              <w:t>.</w:t>
            </w:r>
          </w:p>
        </w:tc>
      </w:tr>
      <w:tr w:rsidR="00A345EE" w:rsidRPr="00514059" w:rsidTr="00015F6D">
        <w:trPr>
          <w:trHeight w:val="274"/>
        </w:trPr>
        <w:tc>
          <w:tcPr>
            <w:tcW w:w="1418" w:type="dxa"/>
          </w:tcPr>
          <w:p w:rsidR="00A345EE" w:rsidRPr="001F2EF3" w:rsidRDefault="00A345EE" w:rsidP="002D1625">
            <w:pPr>
              <w:jc w:val="both"/>
              <w:rPr>
                <w:b/>
                <w:i/>
              </w:rPr>
            </w:pPr>
            <w:r w:rsidRPr="001F2EF3">
              <w:rPr>
                <w:b/>
                <w:i/>
              </w:rPr>
              <w:lastRenderedPageBreak/>
              <w:t>Виконання показників бюджету області</w:t>
            </w:r>
          </w:p>
          <w:p w:rsidR="00A345EE" w:rsidRPr="00514059" w:rsidRDefault="00A345EE" w:rsidP="002D1625">
            <w:pPr>
              <w:jc w:val="both"/>
              <w:rPr>
                <w:b/>
                <w:i/>
                <w:highlight w:val="yellow"/>
              </w:rPr>
            </w:pPr>
          </w:p>
        </w:tc>
        <w:tc>
          <w:tcPr>
            <w:tcW w:w="8818" w:type="dxa"/>
          </w:tcPr>
          <w:p w:rsidR="00BB3C49" w:rsidRPr="00BB3C49" w:rsidRDefault="00BB3C49" w:rsidP="00BB3C49">
            <w:pPr>
              <w:ind w:firstLine="346"/>
              <w:jc w:val="both"/>
            </w:pPr>
            <w:r w:rsidRPr="00BB3C49">
              <w:t>Відповідно до даних Департаменту фінансів облдержадміністрації за 11 місяців 2017 року до бюджету області  (загальний і спеціальний фонди) надійшло власних і закріплених доходів у сумі 7110,1 млн. грн., що становить 103,6% до плану на рік, затвердженого місцевими радами з врахуванням змін (заплановано 6865,4 млн.грн.) та 116,0% до планових показників на 11 місяців згідно помісячного розпису (заплановано 6129,4 млн.грн.). Порівняно з відповідним періодом минулого року надходження доходів місцевих бюджетів збільшились на 2080,3 млн.грн. або на 41,4%.</w:t>
            </w:r>
          </w:p>
          <w:p w:rsidR="00BB3C49" w:rsidRPr="00BB3C49" w:rsidRDefault="00BB3C49" w:rsidP="00BB3C49">
            <w:pPr>
              <w:ind w:firstLine="346"/>
              <w:jc w:val="both"/>
            </w:pPr>
            <w:r w:rsidRPr="00BB3C49">
              <w:t>У т.ч. до загального фонду бюджету області надійшло власних і закріплених доходів в сумі 5894,5 млн.грн., що становить 96,5%  плану на рік, затвердженого місцевими радами з врахуванням змін (заплановано 6110,0 млн.грн.) та 108,5% до планових показників на 11 місяців згідно помісячного розпису (заплановано 5432,6 млн.грн.), понад план отримано 461,9 млн.грн. доходів.</w:t>
            </w:r>
          </w:p>
          <w:p w:rsidR="00BB3C49" w:rsidRPr="00BB3C49" w:rsidRDefault="00BB3C49" w:rsidP="00BB3C49">
            <w:pPr>
              <w:ind w:firstLine="346"/>
              <w:jc w:val="both"/>
            </w:pPr>
            <w:r w:rsidRPr="00BB3C49">
              <w:t xml:space="preserve">Проти відповідного періоду минулого року надходження власних і закріплених доходів загального фонду місцевих бюджетів збільшились на 1639,1 млн.грн. або на 38,5%. </w:t>
            </w:r>
          </w:p>
          <w:p w:rsidR="00BB3C49" w:rsidRPr="00F629C1" w:rsidRDefault="00BB3C49" w:rsidP="00BB3C49">
            <w:pPr>
              <w:ind w:firstLine="346"/>
              <w:jc w:val="both"/>
            </w:pPr>
            <w:r w:rsidRPr="00BB3C49">
              <w:t>Найбільший приріст надходжень власних і закріплених доходів загального фонду (у порівняних умовах</w:t>
            </w:r>
            <w:r w:rsidR="00F629C1">
              <w:t xml:space="preserve">) по бюджетах: по отгм.Тульчин, </w:t>
            </w:r>
            <w:r w:rsidR="00F629C1" w:rsidRPr="00BB3C49">
              <w:t>ОТГ</w:t>
            </w:r>
            <w:r w:rsidRPr="00BB3C49">
              <w:t>с.М</w:t>
            </w:r>
            <w:r w:rsidR="00F629C1">
              <w:t>ельниківці (Немирівський район),</w:t>
            </w:r>
            <w:r w:rsidRPr="00BB3C49">
              <w:t xml:space="preserve">  по </w:t>
            </w:r>
            <w:r w:rsidR="00F629C1" w:rsidRPr="00BB3C49">
              <w:t>ОТГ</w:t>
            </w:r>
            <w:r w:rsidRPr="00BB3C49">
              <w:t xml:space="preserve"> смт Томашпіль</w:t>
            </w:r>
            <w:r w:rsidR="00F629C1">
              <w:t>, по Барському району,</w:t>
            </w:r>
            <w:r w:rsidRPr="00BB3C49">
              <w:t xml:space="preserve"> по Крижопількому району – </w:t>
            </w:r>
            <w:r w:rsidR="00F629C1">
              <w:rPr>
                <w:lang w:val="ru-RU"/>
              </w:rPr>
              <w:t>більшеніж в 1,5 рази.</w:t>
            </w:r>
          </w:p>
          <w:p w:rsidR="00BB3C49" w:rsidRPr="00BB3C49" w:rsidRDefault="00BB3C49" w:rsidP="00BB3C49">
            <w:pPr>
              <w:ind w:firstLine="346"/>
              <w:jc w:val="both"/>
            </w:pPr>
            <w:r w:rsidRPr="00BB3C49">
              <w:t>Найменший приріст надходжень по бюджетах: по отгс.Хижинці (Вінницький район) – збільшення на 21,1%,  Гайсинському району - на 25,6%, м.Ладижин  – на 26,0%, Томашпільському району - на 27,8%, Чернівецькому району - на 29,0%.</w:t>
            </w:r>
          </w:p>
          <w:p w:rsidR="00BB3C49" w:rsidRPr="00BB3C49" w:rsidRDefault="00BB3C49" w:rsidP="00BB3C49">
            <w:pPr>
              <w:ind w:firstLine="346"/>
              <w:jc w:val="both"/>
            </w:pPr>
            <w:r w:rsidRPr="00BB3C49">
              <w:t>Дохідну частину бюджету до плану на 11 місяців виконано по всіх 55-ти бюджетах адміністративно-територіальних одиниць (міст обласного значення, бюджетів районів, об’єднаних територіальних громад та обласного), а план на рік вже виконано по 35-ти бюджетах адміністративно-територіальних одиниць.</w:t>
            </w:r>
          </w:p>
          <w:p w:rsidR="00BB3C49" w:rsidRPr="00BB3C49" w:rsidRDefault="00BB3C49" w:rsidP="00BB3C49">
            <w:pPr>
              <w:ind w:firstLine="346"/>
              <w:jc w:val="both"/>
            </w:pPr>
            <w:r w:rsidRPr="00BB3C49">
              <w:t xml:space="preserve">Найбільший рівень виконання планів на рік (зі змінами) по доходах загального фонду (без трансфертів) по бюджетах: Погребищенському району –  118,6% плану на рік (при розрахунковій нормі на 11 місяців 91,7%).  отгс.Ковалівка (Немирівський район)  – 113,2% плану на рік, Теплицькому району –  110,5%. Бершадському району –  110,2%, отг смт Вапнярка (Томашпільський район) – 109,9% плану на рік. </w:t>
            </w:r>
          </w:p>
          <w:p w:rsidR="00BB3C49" w:rsidRPr="00BB3C49" w:rsidRDefault="00BB3C49" w:rsidP="00BB3C49">
            <w:pPr>
              <w:ind w:firstLine="346"/>
              <w:jc w:val="both"/>
            </w:pPr>
            <w:r w:rsidRPr="00BB3C49">
              <w:t>Найменший рівень виконання бюджетів - по Томашпільському району  – 89,5% плану на рік, м.Вінниці – 90,6% плану на рік,  отгм.Немирів – 91,0%, м.Могилів-Подільському – 91,7% плану на рік,  обласному бюджету – 91,8% плану на рік.</w:t>
            </w:r>
          </w:p>
          <w:p w:rsidR="00BB3C49" w:rsidRPr="00BB3C49" w:rsidRDefault="00BB3C49" w:rsidP="00BB3C49">
            <w:pPr>
              <w:ind w:firstLine="346"/>
              <w:jc w:val="both"/>
            </w:pPr>
            <w:r w:rsidRPr="00BB3C49">
              <w:t>З 634 сільських, селищних, міських (міст районного значення) рад виконали свої бюджети по доходах (без трансфертів) по планах на 11 місяців 2017 року 624 рад, або 98,4% їх загальної кількості. Не виконано 10 бюджетів.  При цьому станом на 01.12.2017 року по 470-ти бюджетах виконано вже річні бюджетні призначення по доходах, або по 74,1% їх загальної кількості.</w:t>
            </w:r>
          </w:p>
          <w:p w:rsidR="00BB3C49" w:rsidRPr="00BB3C49" w:rsidRDefault="00BB3C49" w:rsidP="00BB3C49">
            <w:pPr>
              <w:ind w:firstLine="346"/>
              <w:jc w:val="both"/>
            </w:pPr>
            <w:r w:rsidRPr="00BB3C49">
              <w:t xml:space="preserve"> Забезпечено виконання всіх бюджетів базового рівня у 20 районах, не забезпечено – у 7 районах. З них, найбільше не виконано бюджетів у Жмеринському. Крижопільському та Немиріському районах – по 2 бюджети, а в Клинівському, Літинському, Чечельницькому та Шаргородському районах не виконано по 1 місцевому бюджету.</w:t>
            </w:r>
          </w:p>
          <w:p w:rsidR="00BB3C49" w:rsidRPr="00BB3C49" w:rsidRDefault="00BB3C49" w:rsidP="00BB3C49">
            <w:pPr>
              <w:ind w:firstLine="346"/>
              <w:jc w:val="both"/>
            </w:pPr>
            <w:r w:rsidRPr="00BB3C49">
              <w:t>Крім власних надходжень податків і зборів до загального фонду бюджету області отримано також 959,5 млн.грн. дотацій або 100% плану на 11 місяців,  та 9391,2 млн.грн. субвенцій з державного бюджету або 98,9% до плану на 11 місяців (недоотримано 99,9 млн.грн.). Проти аналогічного періоду 2016 року  надходження дотацій та субвенцій з Державного бюджету збільшились на 3166,4 млн.грн.  або на 44,1%.</w:t>
            </w:r>
          </w:p>
          <w:p w:rsidR="00BB3C49" w:rsidRPr="00BB3C49" w:rsidRDefault="00BB3C49" w:rsidP="00BB3C49">
            <w:pPr>
              <w:ind w:firstLine="346"/>
              <w:jc w:val="both"/>
            </w:pPr>
            <w:r w:rsidRPr="00BB3C49">
              <w:lastRenderedPageBreak/>
              <w:t>З врахуванням всіх міжбюджетних трансфертів (субвенцій, дотацій) з державного бюджету зведений бюджет області по доходах загального фонду отримав 16245,2 млн.грн., або 91,9% до уточненого плану на рік (план 17668,4 млн.грн.) та 102,2% до уточненого плану на 11 місяців (план 15883,2 млн.грн.),  і проти аналогічного періоду минулого року збільшились на 4805,5 млн.грн. або на 42,0%.</w:t>
            </w:r>
          </w:p>
          <w:p w:rsidR="00BB3C49" w:rsidRPr="00BB3C49" w:rsidRDefault="00BB3C49" w:rsidP="00BB3C49">
            <w:pPr>
              <w:ind w:firstLine="346"/>
              <w:jc w:val="both"/>
            </w:pPr>
            <w:r w:rsidRPr="00BB3C49">
              <w:t xml:space="preserve">За 11 місяців поточного року по зведеному бюджету області (загальний і спеціальний фонди) проведено видатків в сумі 16657,1 млн.грн., що становить 84,0% плану на рік з врахуванням змін (заплановано 19836,7 млн.грн.), та 93,4% до планових показників на 11 місяців  (заплановано 17842,1 млн.грн.)  і збільшились проти аналогічного періоду минулого року на 5314,7 млн.грн. або на 46,9%. З них,  проведено видатків розвитку в сумі 2018,9 млн грн., що становить 74,6% плану на рік з врахуванням змін (заплановано 2705,4 млн.грн.) та 82,2% до планових показників на 11 місяців (заплановано 2456,2 млн.грн.), це більше проти 11-ти місяців минулого року на 819,9 млн.грн. або на 68,4%. </w:t>
            </w:r>
          </w:p>
          <w:p w:rsidR="00BB3C49" w:rsidRPr="00BB3C49" w:rsidRDefault="00BB3C49" w:rsidP="00BB3C49">
            <w:pPr>
              <w:ind w:firstLine="346"/>
              <w:jc w:val="both"/>
            </w:pPr>
            <w:r w:rsidRPr="00BB3C49">
              <w:t>В першу чергу кошти бюджету спрямовувались на фінансування соціально-культурної сфери: за 11 місяців 2017 року на зазначені цілі використано 13281,0 млн.грн. - це 79,7% усіх видатків загального і спеціального фондів, у тому числі на освіту використано 4672,3 млн.грн. (проти аналогічного періоду минулого року збільшення на 1509,7 млн.грн., або на 47,7%), на охорону здоров’я – 2838,7 млн.грн. (збільшення проти 11 місяців 2016 року на 824,6 млн.грн., або на 40,9%), на соціальний захист та соціальне забезпечення – 5125,8 млн.грн. (збільшилися на 1441,1 млн.грн., або на 39,1%), на культуру – 503,0 млн.грн. (збільшення на 132,5 млн.грн., або на 35,8%), на фізкультуру і спорт – 141,3 млн.грн. (збільшення на 38,2 млн.грн., або на 37,1%).</w:t>
            </w:r>
          </w:p>
          <w:p w:rsidR="00A345EE" w:rsidRPr="00C11FDE" w:rsidRDefault="00BB3C49" w:rsidP="00F629C1">
            <w:pPr>
              <w:ind w:firstLine="346"/>
              <w:jc w:val="both"/>
            </w:pPr>
            <w:r w:rsidRPr="00BB3C49">
              <w:t xml:space="preserve">Зокрема, за січень-листопад 2017 року проведено 13942,5 млн.грн. видатків загального фонду, що становить 84,7% плану на рік, затвердженого місцевими радами з врахуванням змін (заплановано 16466,2 млн.грн.), та 93,0% до планових показників на 11 місяців згідно помісячного розпису (заплановано 14984,0 млн.грн.), і проти аналогічного періоду 2016 року збільшились на  4254,2 млн.грн., або на 43,9%. </w:t>
            </w:r>
          </w:p>
        </w:tc>
      </w:tr>
      <w:tr w:rsidR="009543EB" w:rsidRPr="00514059" w:rsidTr="00B300D6">
        <w:trPr>
          <w:trHeight w:val="284"/>
        </w:trPr>
        <w:tc>
          <w:tcPr>
            <w:tcW w:w="1418" w:type="dxa"/>
          </w:tcPr>
          <w:p w:rsidR="009543EB" w:rsidRPr="00514059" w:rsidRDefault="009543EB" w:rsidP="002D1625">
            <w:pPr>
              <w:jc w:val="both"/>
              <w:rPr>
                <w:b/>
                <w:i/>
                <w:highlight w:val="yellow"/>
              </w:rPr>
            </w:pPr>
            <w:r w:rsidRPr="001F2EF3">
              <w:rPr>
                <w:b/>
                <w:i/>
              </w:rPr>
              <w:lastRenderedPageBreak/>
              <w:t>Стан адміністрування єдиного внеску на обов’язкове державне соціальне страхування</w:t>
            </w:r>
          </w:p>
        </w:tc>
        <w:tc>
          <w:tcPr>
            <w:tcW w:w="8818" w:type="dxa"/>
          </w:tcPr>
          <w:p w:rsidR="00BB3C49" w:rsidRPr="00BB3C49" w:rsidRDefault="00BB3C49" w:rsidP="00BB3C49">
            <w:pPr>
              <w:ind w:firstLine="346"/>
              <w:jc w:val="both"/>
            </w:pPr>
            <w:r w:rsidRPr="00BB3C49">
              <w:t xml:space="preserve">Відповідно до даних Головного управління ДФС у Вінницькій області на 01.12.2017 на обліку в області перебуває </w:t>
            </w:r>
            <w:r w:rsidRPr="00BB3C49">
              <w:rPr>
                <w:lang w:val="ru-RU"/>
              </w:rPr>
              <w:t xml:space="preserve">128345 </w:t>
            </w:r>
            <w:r w:rsidRPr="00BB3C49">
              <w:t xml:space="preserve">платників єдиного внеску (юридичні особи – 32722, фізичні – 95623). В порівнянні з 01.01.2017 року їх кількість збільшилась на 9566 або на 8,1% (на 01.01.2017 року на обліку знаходилось 118 779 платників, в т.ч.: юридичних осіб – 31309, фізичних – 87470). </w:t>
            </w:r>
          </w:p>
          <w:p w:rsidR="00BB3C49" w:rsidRPr="00BB3C49" w:rsidRDefault="00BB3C49" w:rsidP="00BB3C49">
            <w:pPr>
              <w:ind w:firstLine="346"/>
              <w:jc w:val="both"/>
            </w:pPr>
            <w:r w:rsidRPr="00BB3C49">
              <w:t xml:space="preserve">Протягом січня-листопада 2017 року надійшло 4408,5 млн.грн. єдиного соціального внеску, що на 1523,5 млн.грн. або у 1,5 рази більше від надходжень відповідного періоду 2016 року. </w:t>
            </w:r>
          </w:p>
          <w:p w:rsidR="009543EB" w:rsidRPr="00514059" w:rsidRDefault="00BB3C49" w:rsidP="00BB3C49">
            <w:pPr>
              <w:tabs>
                <w:tab w:val="left" w:pos="9720"/>
              </w:tabs>
              <w:ind w:firstLine="346"/>
              <w:jc w:val="both"/>
              <w:rPr>
                <w:highlight w:val="yellow"/>
              </w:rPr>
            </w:pPr>
            <w:r w:rsidRPr="00BB3C49">
              <w:t>Борг по єдиному соціальному внеску на 01.12.2017 року становить 107,8 млн.грн., в т.ч. по юридичних особах – 72,8 млн.грн., фізичних – 35,0 млн. грн. З початку року борг по єдиному внеску збільшився  на 21,8 млн.грн. або на 25,4%, по юридичних особах – зрісна 18,7 млн.грн.,  по фізичних –на 3,1 млн. грн</w:t>
            </w:r>
            <w:r w:rsidR="004A4473" w:rsidRPr="00BB3C49">
              <w:t>.</w:t>
            </w:r>
          </w:p>
        </w:tc>
      </w:tr>
      <w:tr w:rsidR="00A345EE" w:rsidRPr="00514059" w:rsidTr="00B300D6">
        <w:trPr>
          <w:trHeight w:val="284"/>
        </w:trPr>
        <w:tc>
          <w:tcPr>
            <w:tcW w:w="1418" w:type="dxa"/>
            <w:shd w:val="clear" w:color="auto" w:fill="FFFFFF"/>
          </w:tcPr>
          <w:p w:rsidR="00A345EE" w:rsidRPr="001F2EF3" w:rsidRDefault="00A345EE" w:rsidP="002D1625">
            <w:pPr>
              <w:jc w:val="both"/>
              <w:rPr>
                <w:b/>
                <w:i/>
              </w:rPr>
            </w:pPr>
            <w:r w:rsidRPr="001F2EF3">
              <w:rPr>
                <w:b/>
                <w:i/>
              </w:rPr>
              <w:t>Виконання основних показників діяльності Пенсійного фонду України у Вінницькій області</w:t>
            </w:r>
          </w:p>
        </w:tc>
        <w:tc>
          <w:tcPr>
            <w:tcW w:w="8818" w:type="dxa"/>
            <w:shd w:val="clear" w:color="auto" w:fill="FFFFFF"/>
          </w:tcPr>
          <w:p w:rsidR="00BB3C49" w:rsidRPr="00BB3C49" w:rsidRDefault="00BB3C49" w:rsidP="00BB3C49">
            <w:pPr>
              <w:ind w:firstLine="346"/>
              <w:jc w:val="both"/>
            </w:pPr>
            <w:r w:rsidRPr="00BB3C49">
              <w:t xml:space="preserve">За січень-листопад 2017 року до бюджету Пенсійного фонду України у Вінницькій області, з усіх джерел фінансування, за оперативними даними, надходження склали  9 632,8 млн.грн. (в т.ч. за даними Міністерства доходів і зборів сума єдиного соціального внеску – 3 757,2 млн. грн.) і в порівнянні з січнем-листопадом  2016 року збільшились на 11,5% або на 996,8 млн. грн. </w:t>
            </w:r>
          </w:p>
          <w:p w:rsidR="00BB3C49" w:rsidRPr="00BB3C49" w:rsidRDefault="00BB3C49" w:rsidP="00BB3C49">
            <w:pPr>
              <w:ind w:firstLine="346"/>
              <w:jc w:val="both"/>
            </w:pPr>
            <w:r w:rsidRPr="00BB3C49">
              <w:t>У частині фінансування виплати пенсій Вінниччина залишається дотаційним регіоном. Станом на 01.12.2017 року забезпеченість власними коштами на виплату пенсій складає 39,5% і в порівнянні з відповідним періодом минулого року збільшилась на 11,6 відсоткових пунктів</w:t>
            </w:r>
            <w:r w:rsidRPr="00BB3C49">
              <w:rPr>
                <w:shd w:val="clear" w:color="auto" w:fill="FFFFFF"/>
              </w:rPr>
              <w:t xml:space="preserve">. </w:t>
            </w:r>
          </w:p>
          <w:p w:rsidR="00BB3C49" w:rsidRPr="00BB3C49" w:rsidRDefault="00BB3C49" w:rsidP="00BB3C49">
            <w:pPr>
              <w:ind w:firstLine="346"/>
              <w:jc w:val="both"/>
              <w:rPr>
                <w:b/>
              </w:rPr>
            </w:pPr>
            <w:r w:rsidRPr="00BB3C49">
              <w:t>Фактичні видатки на виплату пенсій та грошової допомоги у Вінницькій області за січень-листопад 2017 року склали 9 633,3 млн.грн., що на 12,2% або на 1 051,1 млн. грн. більше ніж за  відповідний період минулого року.</w:t>
            </w:r>
          </w:p>
          <w:p w:rsidR="00BB3C49" w:rsidRPr="00BB3C49" w:rsidRDefault="00BB3C49" w:rsidP="00BB3C49">
            <w:pPr>
              <w:ind w:firstLine="346"/>
              <w:jc w:val="both"/>
            </w:pPr>
            <w:r w:rsidRPr="00BB3C49">
              <w:lastRenderedPageBreak/>
              <w:t>Станом на 01.12.2017 року в області фактично отримують пенсії 457689 осіб. Середньомісячний розмір пенсії складає 2028 грн. 29 коп., у порівнянні з 01.</w:t>
            </w:r>
            <w:r w:rsidRPr="00BB3C49">
              <w:rPr>
                <w:lang w:val="ru-RU"/>
              </w:rPr>
              <w:t>12</w:t>
            </w:r>
            <w:r w:rsidRPr="00BB3C49">
              <w:t xml:space="preserve">.2016 року – зріс на </w:t>
            </w:r>
            <w:r w:rsidRPr="00BB3C49">
              <w:rPr>
                <w:bCs/>
              </w:rPr>
              <w:t xml:space="preserve">427 грн. 85 коп. або на </w:t>
            </w:r>
            <w:r w:rsidRPr="00BB3C49">
              <w:t>26,7% (становив 1600 грн.44 коп.).</w:t>
            </w:r>
          </w:p>
          <w:p w:rsidR="00BB3C49" w:rsidRPr="00BB3C49" w:rsidRDefault="00BB3C49" w:rsidP="00BB3C49">
            <w:pPr>
              <w:ind w:firstLine="346"/>
              <w:jc w:val="both"/>
            </w:pPr>
            <w:r w:rsidRPr="00BB3C49">
              <w:t xml:space="preserve">Крім того, станом на </w:t>
            </w:r>
            <w:r w:rsidRPr="00BB3C49">
              <w:rPr>
                <w:bCs/>
              </w:rPr>
              <w:t xml:space="preserve">01.11.2017 </w:t>
            </w:r>
            <w:r w:rsidRPr="00BB3C49">
              <w:t xml:space="preserve">року в області отримують пенсії </w:t>
            </w:r>
            <w:r w:rsidRPr="00BB3C49">
              <w:rPr>
                <w:bCs/>
              </w:rPr>
              <w:t xml:space="preserve">21535 </w:t>
            </w:r>
            <w:r w:rsidRPr="00BB3C49">
              <w:t>військовослужбовців.</w:t>
            </w:r>
          </w:p>
          <w:p w:rsidR="00A345EE" w:rsidRPr="00514059" w:rsidRDefault="00BB3C49" w:rsidP="000D6B14">
            <w:pPr>
              <w:ind w:firstLine="346"/>
              <w:jc w:val="both"/>
              <w:rPr>
                <w:bCs/>
                <w:highlight w:val="yellow"/>
              </w:rPr>
            </w:pPr>
            <w:r w:rsidRPr="00BB3C49">
              <w:t xml:space="preserve">На  звітну дату середній розмір  пенсії військовослужбовця складав </w:t>
            </w:r>
            <w:r w:rsidRPr="00BB3C49">
              <w:rPr>
                <w:bCs/>
              </w:rPr>
              <w:t>2791 грн.01</w:t>
            </w:r>
            <w:r w:rsidRPr="00BB3C49">
              <w:t xml:space="preserve"> коп. і у порівнянні з його рівнем  станом  на  </w:t>
            </w:r>
            <w:r w:rsidRPr="00BB3C49">
              <w:rPr>
                <w:bCs/>
              </w:rPr>
              <w:t>01.12.2016</w:t>
            </w:r>
            <w:r w:rsidRPr="00BB3C49">
              <w:t xml:space="preserve"> року</w:t>
            </w:r>
            <w:r w:rsidRPr="00BB3C49">
              <w:rPr>
                <w:bCs/>
              </w:rPr>
              <w:t xml:space="preserve">(2631 грн. 35 коп.)  </w:t>
            </w:r>
            <w:r w:rsidRPr="00BB3C49">
              <w:t xml:space="preserve">зріс </w:t>
            </w:r>
            <w:r w:rsidRPr="00BB3C49">
              <w:rPr>
                <w:bCs/>
              </w:rPr>
              <w:t>на 6,1% або на 159 грн.66 коп.</w:t>
            </w:r>
          </w:p>
        </w:tc>
      </w:tr>
      <w:tr w:rsidR="009543EB" w:rsidRPr="00514059" w:rsidTr="00B300D6">
        <w:trPr>
          <w:trHeight w:val="430"/>
        </w:trPr>
        <w:tc>
          <w:tcPr>
            <w:tcW w:w="1418" w:type="dxa"/>
          </w:tcPr>
          <w:p w:rsidR="009543EB" w:rsidRPr="00514059" w:rsidRDefault="009543EB" w:rsidP="002D1625">
            <w:pPr>
              <w:jc w:val="both"/>
              <w:rPr>
                <w:b/>
                <w:i/>
                <w:highlight w:val="yellow"/>
              </w:rPr>
            </w:pPr>
            <w:r w:rsidRPr="001F2EF3">
              <w:rPr>
                <w:b/>
                <w:i/>
              </w:rPr>
              <w:lastRenderedPageBreak/>
              <w:t>Заборгованість до Пенсійного фонду України</w:t>
            </w:r>
          </w:p>
        </w:tc>
        <w:tc>
          <w:tcPr>
            <w:tcW w:w="8818" w:type="dxa"/>
          </w:tcPr>
          <w:p w:rsidR="00BB3C49" w:rsidRDefault="00BB3C49" w:rsidP="00BB3C49">
            <w:pPr>
              <w:spacing w:line="252" w:lineRule="auto"/>
              <w:ind w:firstLine="346"/>
              <w:jc w:val="both"/>
            </w:pPr>
            <w:r>
              <w:t>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станом  на 01.12.2017 року в порівнянні із 01.01.2017 року зменшилась на 136,6 тис.грн. або на 0,3% та складає 47 613,8 тис.грн., з них: борг зі сплати страхових внесків – 24 524,4 тис.грн, борг з відшкодування пільгових, наукових пенсій та регресних вимогах – 23 089,4 тис.грн.</w:t>
            </w:r>
          </w:p>
          <w:p w:rsidR="00BB3C49" w:rsidRDefault="00BB3C49" w:rsidP="00BB3C49">
            <w:pPr>
              <w:spacing w:line="252" w:lineRule="auto"/>
              <w:ind w:firstLine="346"/>
              <w:jc w:val="both"/>
            </w:pPr>
            <w:r>
              <w:t xml:space="preserve">Протягом січня-листопада 2017 року відбулося скорочення заборгованості до бюджету Фонду по страхових внесках на суму 1 986,1 тис.грн. </w:t>
            </w:r>
          </w:p>
          <w:p w:rsidR="00BB3C49" w:rsidRDefault="00BB3C49" w:rsidP="00BB3C49">
            <w:pPr>
              <w:spacing w:line="252" w:lineRule="auto"/>
              <w:ind w:firstLine="346"/>
              <w:jc w:val="both"/>
            </w:pPr>
            <w:r>
              <w:t>Заборгованість з відшкодування витрат на виплату та доставку пільгових пенсій з початку 2017 року зросла на 1 854,8 тис.грн. та станом на 01.12.2017 становить 22 970,1 тис. грн.</w:t>
            </w:r>
          </w:p>
          <w:p w:rsidR="009543EB" w:rsidRPr="00C11FDE" w:rsidRDefault="00BB3C49" w:rsidP="00BB3C49">
            <w:pPr>
              <w:spacing w:line="256" w:lineRule="auto"/>
              <w:ind w:firstLine="346"/>
              <w:jc w:val="both"/>
            </w:pPr>
            <w:r>
              <w:t>В порівнянні з 01.12.2016  року заборгованість з відшкодування наукових пенсій та регресних вимог зменшилась на 5,3 тис.грн. і станом на звітну дату складає 119,3 тис.грн</w:t>
            </w:r>
            <w:r w:rsidR="005C6431">
              <w:rPr>
                <w:szCs w:val="28"/>
              </w:rPr>
              <w:t>.</w:t>
            </w:r>
          </w:p>
        </w:tc>
      </w:tr>
      <w:tr w:rsidR="009543EB" w:rsidRPr="00514059" w:rsidTr="00B300D6">
        <w:trPr>
          <w:trHeight w:val="405"/>
        </w:trPr>
        <w:tc>
          <w:tcPr>
            <w:tcW w:w="10236" w:type="dxa"/>
            <w:gridSpan w:val="2"/>
            <w:tcBorders>
              <w:left w:val="nil"/>
              <w:right w:val="nil"/>
            </w:tcBorders>
          </w:tcPr>
          <w:p w:rsidR="009543EB" w:rsidRPr="00514059" w:rsidRDefault="009543EB" w:rsidP="002D1625">
            <w:pPr>
              <w:jc w:val="both"/>
              <w:rPr>
                <w:b/>
                <w:sz w:val="4"/>
                <w:highlight w:val="yellow"/>
              </w:rPr>
            </w:pPr>
          </w:p>
          <w:p w:rsidR="009543EB" w:rsidRPr="00514059" w:rsidRDefault="009543EB" w:rsidP="002D1625">
            <w:pPr>
              <w:jc w:val="center"/>
              <w:rPr>
                <w:b/>
                <w:sz w:val="6"/>
                <w:highlight w:val="yellow"/>
              </w:rPr>
            </w:pPr>
          </w:p>
          <w:p w:rsidR="009543EB" w:rsidRPr="00514059" w:rsidRDefault="009543EB" w:rsidP="002D1625">
            <w:pPr>
              <w:jc w:val="center"/>
              <w:rPr>
                <w:b/>
                <w:highlight w:val="yellow"/>
              </w:rPr>
            </w:pPr>
            <w:r w:rsidRPr="001F2EF3">
              <w:rPr>
                <w:b/>
              </w:rPr>
              <w:t>ЗАРОБІТНА ПЛАТА</w:t>
            </w:r>
          </w:p>
        </w:tc>
      </w:tr>
      <w:tr w:rsidR="009543EB" w:rsidRPr="00514059" w:rsidTr="00BF59E3">
        <w:trPr>
          <w:trHeight w:val="282"/>
        </w:trPr>
        <w:tc>
          <w:tcPr>
            <w:tcW w:w="1418" w:type="dxa"/>
            <w:shd w:val="clear" w:color="auto" w:fill="FFFFFF"/>
          </w:tcPr>
          <w:p w:rsidR="009543EB" w:rsidRPr="00514059" w:rsidRDefault="009543EB" w:rsidP="002D1625">
            <w:pPr>
              <w:jc w:val="both"/>
              <w:rPr>
                <w:b/>
                <w:i/>
                <w:highlight w:val="yellow"/>
              </w:rPr>
            </w:pPr>
            <w:r w:rsidRPr="001F2EF3">
              <w:rPr>
                <w:b/>
                <w:i/>
              </w:rPr>
              <w:t>Рівень середньомісячної заробітної плати</w:t>
            </w:r>
          </w:p>
        </w:tc>
        <w:tc>
          <w:tcPr>
            <w:tcW w:w="8818" w:type="dxa"/>
          </w:tcPr>
          <w:p w:rsidR="006D1554" w:rsidRPr="00AC1C68" w:rsidRDefault="006D1554" w:rsidP="006D1554">
            <w:pPr>
              <w:pStyle w:val="310"/>
              <w:snapToGrid w:val="0"/>
              <w:ind w:firstLine="705"/>
              <w:rPr>
                <w:sz w:val="24"/>
              </w:rPr>
            </w:pPr>
            <w:r w:rsidRPr="00AC1C68">
              <w:rPr>
                <w:sz w:val="24"/>
              </w:rPr>
              <w:t>У 201</w:t>
            </w:r>
            <w:r w:rsidRPr="00AC1C68">
              <w:rPr>
                <w:sz w:val="24"/>
                <w:lang w:val="ru-RU"/>
              </w:rPr>
              <w:t>7</w:t>
            </w:r>
            <w:r w:rsidRPr="00AC1C68">
              <w:rPr>
                <w:sz w:val="24"/>
              </w:rPr>
              <w:t xml:space="preserve"> році продовжується  позитивна тенденція щодо зростання  темпів приросту заробітної плати як у області, так і по Україні в цілому. Водночас, у Вінницькій області ріст рівня заробітної плати випереджає середній по Україні. </w:t>
            </w:r>
          </w:p>
          <w:p w:rsidR="006D1554" w:rsidRPr="00AC1C68" w:rsidRDefault="006D1554" w:rsidP="006D1554">
            <w:pPr>
              <w:pStyle w:val="310"/>
              <w:snapToGrid w:val="0"/>
              <w:ind w:firstLine="705"/>
              <w:rPr>
                <w:i/>
                <w:sz w:val="24"/>
              </w:rPr>
            </w:pPr>
            <w:r w:rsidRPr="00AC1C68">
              <w:rPr>
                <w:sz w:val="24"/>
              </w:rPr>
              <w:t>Відповідно до даних Головного управління статистики у Вінницькій області приріст середньомісячної заробітної плати за січень-листопад 2017 року складає 45,8%, тоді як у відповідному періоді 2016 року він становив 23,6% (</w:t>
            </w:r>
            <w:r w:rsidRPr="00AC1C68">
              <w:rPr>
                <w:i/>
                <w:sz w:val="24"/>
              </w:rPr>
              <w:t>ріст на 22,2 відсоткових пункти</w:t>
            </w:r>
            <w:r w:rsidRPr="00AC1C68">
              <w:rPr>
                <w:sz w:val="24"/>
              </w:rPr>
              <w:t>)</w:t>
            </w:r>
            <w:r w:rsidRPr="00AC1C68">
              <w:rPr>
                <w:i/>
                <w:sz w:val="24"/>
              </w:rPr>
              <w:t xml:space="preserve">. </w:t>
            </w:r>
            <w:r w:rsidRPr="00AC1C68">
              <w:rPr>
                <w:sz w:val="24"/>
              </w:rPr>
              <w:t>По Україні, відповідно, приріст складає – 37,1%, і зріс на 13,</w:t>
            </w:r>
            <w:r w:rsidRPr="00AC1C68">
              <w:rPr>
                <w:sz w:val="24"/>
                <w:lang w:val="ru-RU"/>
              </w:rPr>
              <w:t>3</w:t>
            </w:r>
            <w:r w:rsidRPr="00AC1C68">
              <w:rPr>
                <w:sz w:val="24"/>
              </w:rPr>
              <w:t xml:space="preserve"> в.п.</w:t>
            </w:r>
          </w:p>
          <w:p w:rsidR="006D1554" w:rsidRPr="00AC1C68" w:rsidRDefault="006D1554" w:rsidP="006D1554">
            <w:pPr>
              <w:pStyle w:val="310"/>
              <w:snapToGrid w:val="0"/>
              <w:ind w:firstLine="705"/>
              <w:rPr>
                <w:sz w:val="24"/>
              </w:rPr>
            </w:pPr>
            <w:r w:rsidRPr="00AC1C68">
              <w:rPr>
                <w:sz w:val="24"/>
              </w:rPr>
              <w:t>Номінальна середньомісячна заробітна плата за січень – листопад</w:t>
            </w:r>
            <w:r w:rsidRPr="00AC1C68">
              <w:rPr>
                <w:sz w:val="24"/>
                <w:lang w:val="ru-RU"/>
              </w:rPr>
              <w:t xml:space="preserve"> </w:t>
            </w:r>
            <w:r w:rsidRPr="00AC1C68">
              <w:rPr>
                <w:sz w:val="24"/>
              </w:rPr>
              <w:t>2017 року до відповідного періоду 2016 року зросла на 18</w:t>
            </w:r>
            <w:r w:rsidRPr="00AC1C68">
              <w:rPr>
                <w:sz w:val="24"/>
                <w:lang w:val="ru-RU"/>
              </w:rPr>
              <w:t>80</w:t>
            </w:r>
            <w:r w:rsidRPr="00AC1C68">
              <w:rPr>
                <w:sz w:val="24"/>
              </w:rPr>
              <w:t>,</w:t>
            </w:r>
            <w:r w:rsidRPr="00AC1C68">
              <w:rPr>
                <w:sz w:val="24"/>
                <w:lang w:val="ru-RU"/>
              </w:rPr>
              <w:t>61</w:t>
            </w:r>
            <w:r w:rsidRPr="00AC1C68">
              <w:rPr>
                <w:sz w:val="24"/>
              </w:rPr>
              <w:t xml:space="preserve"> грн. і становить </w:t>
            </w:r>
            <w:r w:rsidRPr="00AC1C68">
              <w:rPr>
                <w:bCs/>
                <w:sz w:val="24"/>
              </w:rPr>
              <w:t>5</w:t>
            </w:r>
            <w:r w:rsidRPr="00AC1C68">
              <w:rPr>
                <w:bCs/>
                <w:sz w:val="24"/>
                <w:lang w:val="ru-RU"/>
              </w:rPr>
              <w:t>985</w:t>
            </w:r>
            <w:r w:rsidRPr="00AC1C68">
              <w:rPr>
                <w:bCs/>
                <w:sz w:val="24"/>
              </w:rPr>
              <w:t>,</w:t>
            </w:r>
            <w:r w:rsidRPr="00AC1C68">
              <w:rPr>
                <w:bCs/>
                <w:sz w:val="24"/>
                <w:lang w:val="ru-RU"/>
              </w:rPr>
              <w:t xml:space="preserve">53 </w:t>
            </w:r>
            <w:r w:rsidRPr="00AC1C68">
              <w:rPr>
                <w:sz w:val="24"/>
              </w:rPr>
              <w:t>грн. За рівнем середньомісячної заробітної плати область займає 1</w:t>
            </w:r>
            <w:r w:rsidRPr="00AC1C68">
              <w:rPr>
                <w:sz w:val="24"/>
                <w:lang w:val="ru-RU"/>
              </w:rPr>
              <w:t>3</w:t>
            </w:r>
            <w:r w:rsidRPr="00AC1C68">
              <w:rPr>
                <w:sz w:val="24"/>
              </w:rPr>
              <w:t xml:space="preserve"> місце серед регіонів України, а з</w:t>
            </w:r>
            <w:r w:rsidRPr="00AC1C68">
              <w:rPr>
                <w:iCs/>
                <w:sz w:val="24"/>
              </w:rPr>
              <w:t xml:space="preserve">а темпами її росту </w:t>
            </w:r>
            <w:r w:rsidRPr="00AC1C68">
              <w:rPr>
                <w:sz w:val="24"/>
              </w:rPr>
              <w:t>-  7 місце.</w:t>
            </w:r>
          </w:p>
          <w:p w:rsidR="006D1554" w:rsidRPr="00AC1C68" w:rsidRDefault="006D1554" w:rsidP="006D1554">
            <w:pPr>
              <w:pStyle w:val="310"/>
              <w:ind w:firstLine="705"/>
              <w:rPr>
                <w:sz w:val="24"/>
              </w:rPr>
            </w:pPr>
            <w:r w:rsidRPr="00AC1C68">
              <w:rPr>
                <w:sz w:val="24"/>
              </w:rPr>
              <w:t>Індекс реальної  заробітної плати  по області за січень-листопад 2017 року в порівнянні з відповідним періодом 2016 року зріс на 16,7 в.п. і складає 128,6% (</w:t>
            </w:r>
            <w:r w:rsidRPr="00AC1C68">
              <w:rPr>
                <w:i/>
                <w:sz w:val="24"/>
              </w:rPr>
              <w:t>по Україні зріс на 10,3 в.п. і склав 119,1%</w:t>
            </w:r>
            <w:r w:rsidRPr="00AC1C68">
              <w:rPr>
                <w:sz w:val="24"/>
              </w:rPr>
              <w:t xml:space="preserve">). За індексом реальної нарахованої заробітної плати за звітний період </w:t>
            </w:r>
            <w:r w:rsidRPr="00AC1C68">
              <w:rPr>
                <w:iCs/>
                <w:sz w:val="24"/>
              </w:rPr>
              <w:t xml:space="preserve">область займає 4 місце </w:t>
            </w:r>
            <w:r w:rsidRPr="00AC1C68">
              <w:rPr>
                <w:sz w:val="24"/>
              </w:rPr>
              <w:t>в рейтингу регіонів України.</w:t>
            </w:r>
          </w:p>
          <w:p w:rsidR="006D1554" w:rsidRPr="00AC1C68" w:rsidRDefault="006D1554" w:rsidP="006D1554">
            <w:pPr>
              <w:pStyle w:val="310"/>
              <w:snapToGrid w:val="0"/>
              <w:ind w:firstLine="705"/>
              <w:rPr>
                <w:sz w:val="24"/>
              </w:rPr>
            </w:pPr>
            <w:r w:rsidRPr="00AC1C68">
              <w:rPr>
                <w:sz w:val="24"/>
              </w:rPr>
              <w:t>Середньомісячна заробітна плата за   листопад 2017 року у порівнянні  до листопада 2016 року зросла на 46,</w:t>
            </w:r>
            <w:r w:rsidRPr="00AC1C68">
              <w:rPr>
                <w:sz w:val="24"/>
                <w:lang w:val="ru-RU"/>
              </w:rPr>
              <w:t>8</w:t>
            </w:r>
            <w:r w:rsidRPr="00AC1C68">
              <w:rPr>
                <w:sz w:val="24"/>
              </w:rPr>
              <w:t xml:space="preserve">% або на 2062,18 грн., до </w:t>
            </w:r>
            <w:r w:rsidRPr="00AC1C68">
              <w:rPr>
                <w:sz w:val="24"/>
                <w:lang w:val="ru-RU"/>
              </w:rPr>
              <w:t>жовт</w:t>
            </w:r>
            <w:r w:rsidRPr="00AC1C68">
              <w:rPr>
                <w:sz w:val="24"/>
              </w:rPr>
              <w:t xml:space="preserve">ня 2017 року - на 0,5% або на   34,16 грн.  і становить </w:t>
            </w:r>
            <w:r w:rsidRPr="00AC1C68">
              <w:rPr>
                <w:bCs/>
                <w:sz w:val="24"/>
              </w:rPr>
              <w:t xml:space="preserve">6467,61 </w:t>
            </w:r>
            <w:r w:rsidRPr="00AC1C68">
              <w:rPr>
                <w:sz w:val="24"/>
              </w:rPr>
              <w:t>грн.</w:t>
            </w:r>
          </w:p>
          <w:p w:rsidR="006D1554" w:rsidRPr="00AC1C68" w:rsidRDefault="006D1554" w:rsidP="006D1554">
            <w:pPr>
              <w:ind w:firstLine="709"/>
              <w:jc w:val="both"/>
              <w:rPr>
                <w:highlight w:val="yellow"/>
              </w:rPr>
            </w:pPr>
            <w:r w:rsidRPr="00AC1C68">
              <w:rPr>
                <w:snapToGrid w:val="0"/>
              </w:rPr>
              <w:t xml:space="preserve"> Індекс реальної заробітної плати у листопаді 2017 року до жовтня 2017  року  становив 99,4% - 19 місце по Україні (в середньому по Україні – 100,5%), до листопада 2016 року – 129,3% -  3 місце по Україні (в середньому по Україні – 121,4%).</w:t>
            </w:r>
          </w:p>
          <w:p w:rsidR="006D1554" w:rsidRPr="00B84197" w:rsidRDefault="006D1554" w:rsidP="006D1554">
            <w:pPr>
              <w:pStyle w:val="310"/>
              <w:ind w:firstLine="705"/>
            </w:pPr>
          </w:p>
          <w:p w:rsidR="006D1554" w:rsidRPr="00B84197" w:rsidRDefault="006D1554" w:rsidP="006D1554">
            <w:pPr>
              <w:shd w:val="clear" w:color="auto" w:fill="FFFFFF"/>
              <w:autoSpaceDE w:val="0"/>
              <w:autoSpaceDN w:val="0"/>
              <w:adjustRightInd w:val="0"/>
              <w:ind w:firstLine="782"/>
              <w:jc w:val="both"/>
            </w:pPr>
            <w:r w:rsidRPr="00B84197">
              <w:t xml:space="preserve">Частка штатних працівників, </w:t>
            </w:r>
            <w:r w:rsidRPr="00B84197">
              <w:rPr>
                <w:bCs/>
              </w:rPr>
              <w:t xml:space="preserve">які повністю відпрацювали місячну норму часу, і </w:t>
            </w:r>
            <w:r w:rsidRPr="00B84197">
              <w:t xml:space="preserve">у яких нарахована заробітна плата була </w:t>
            </w:r>
            <w:r w:rsidRPr="00B84197">
              <w:rPr>
                <w:spacing w:val="-1"/>
              </w:rPr>
              <w:t xml:space="preserve">в межах мінімальної заробітної плати, встановленої законодавством (3200 грн.), у відсотках до </w:t>
            </w:r>
            <w:r w:rsidRPr="00B84197">
              <w:t>загальної кількості штатних працівників, які повністю відпрацювали вересень 2017 року складає 5,8% (у червні  було 6,1%), а у відсотках до середньооблікової кількості штатних працівників за вересень - 4,1% (у червні було 4,2%).</w:t>
            </w:r>
          </w:p>
          <w:p w:rsidR="006D1554" w:rsidRDefault="006D1554" w:rsidP="006D1554">
            <w:pPr>
              <w:ind w:firstLine="708"/>
              <w:jc w:val="both"/>
            </w:pPr>
            <w:r w:rsidRPr="00B84197">
              <w:lastRenderedPageBreak/>
              <w:t xml:space="preserve">Частка штатних працівників, </w:t>
            </w:r>
            <w:r w:rsidRPr="00B84197">
              <w:rPr>
                <w:snapToGrid w:val="0"/>
              </w:rPr>
              <w:t>яким оплачено 50% і більше робочого часу,</w:t>
            </w:r>
            <w:r w:rsidRPr="00B84197">
              <w:rPr>
                <w:bCs/>
              </w:rPr>
              <w:t xml:space="preserve"> і </w:t>
            </w:r>
            <w:r w:rsidRPr="00B84197">
              <w:t xml:space="preserve">у яких нарахована заробітна плата була </w:t>
            </w:r>
            <w:r w:rsidRPr="00B84197">
              <w:rPr>
                <w:spacing w:val="-1"/>
              </w:rPr>
              <w:t xml:space="preserve">в межах мінімальної заробітної плати, встановленої законодавством (3200грн.), у відсотках до </w:t>
            </w:r>
            <w:r w:rsidRPr="00B84197">
              <w:t xml:space="preserve">штатних працівників, </w:t>
            </w:r>
            <w:r w:rsidRPr="00B84197">
              <w:rPr>
                <w:snapToGrid w:val="0"/>
              </w:rPr>
              <w:t>яким у вересні оплачено 50% і більше робочого часу</w:t>
            </w:r>
            <w:r w:rsidRPr="00B84197">
              <w:t xml:space="preserve"> складає   10,3% (у червні </w:t>
            </w:r>
            <w:r>
              <w:t xml:space="preserve">- </w:t>
            </w:r>
            <w:r w:rsidRPr="00B84197">
              <w:t xml:space="preserve">11,4%). </w:t>
            </w:r>
          </w:p>
          <w:p w:rsidR="006D1554" w:rsidRPr="00B84197" w:rsidRDefault="006D1554" w:rsidP="006D1554">
            <w:pPr>
              <w:ind w:firstLine="708"/>
              <w:jc w:val="both"/>
            </w:pPr>
          </w:p>
          <w:p w:rsidR="006D1554" w:rsidRPr="00AC1C68" w:rsidRDefault="006D1554" w:rsidP="006D1554">
            <w:pPr>
              <w:ind w:firstLine="709"/>
              <w:jc w:val="both"/>
              <w:rPr>
                <w:bCs/>
                <w:i/>
              </w:rPr>
            </w:pPr>
            <w:r w:rsidRPr="00AC1C68">
              <w:rPr>
                <w:bCs/>
              </w:rPr>
              <w:t xml:space="preserve">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 - листопад 2017 року складає майже 2,8 (найвищий рівень середньомісячної зарплати </w:t>
            </w:r>
            <w:r w:rsidRPr="00AC1C68">
              <w:t xml:space="preserve">у </w:t>
            </w:r>
            <w:r w:rsidRPr="00AC1C68">
              <w:rPr>
                <w:bCs/>
              </w:rPr>
              <w:t xml:space="preserve">сфері </w:t>
            </w:r>
            <w:r w:rsidRPr="00AC1C68">
              <w:rPr>
                <w:bCs/>
                <w:u w:val="single"/>
              </w:rPr>
              <w:t xml:space="preserve">інформації та телекомунікації </w:t>
            </w:r>
            <w:r w:rsidRPr="00AC1C68">
              <w:t>– 7959,00 грн.</w:t>
            </w:r>
            <w:r w:rsidRPr="00AC1C68">
              <w:rPr>
                <w:i/>
              </w:rPr>
              <w:t xml:space="preserve"> (в порівнянні з відповідним періодом 2016 року зарплата зросла на 20,7% та на 33,0% більше середнього рівня по економіці області</w:t>
            </w:r>
            <w:r w:rsidRPr="00AC1C68">
              <w:t>)</w:t>
            </w:r>
            <w:r w:rsidRPr="00AC1C68">
              <w:rPr>
                <w:bCs/>
                <w:i/>
              </w:rPr>
              <w:t xml:space="preserve">, </w:t>
            </w:r>
            <w:r w:rsidRPr="00AC1C68">
              <w:rPr>
                <w:bCs/>
              </w:rPr>
              <w:t xml:space="preserve">найнижчий - у сфері </w:t>
            </w:r>
            <w:r w:rsidRPr="00AC1C68">
              <w:rPr>
                <w:bCs/>
                <w:u w:val="single"/>
              </w:rPr>
              <w:t>поштової та кур’єрської діяльності</w:t>
            </w:r>
            <w:r w:rsidRPr="00AC1C68">
              <w:rPr>
                <w:bCs/>
              </w:rPr>
              <w:t xml:space="preserve"> – 2845,32 грн.</w:t>
            </w:r>
            <w:r w:rsidRPr="00AC1C68">
              <w:rPr>
                <w:i/>
              </w:rPr>
              <w:t xml:space="preserve"> (зросла на 32,5% в 2,1  рази  менше середнього рівня по економіці</w:t>
            </w:r>
            <w:r w:rsidRPr="00AC1C68">
              <w:t>)</w:t>
            </w:r>
            <w:r w:rsidRPr="00AC1C68">
              <w:rPr>
                <w:bCs/>
                <w:i/>
              </w:rPr>
              <w:t>.</w:t>
            </w:r>
          </w:p>
          <w:p w:rsidR="006D1554" w:rsidRPr="00AC1C68" w:rsidRDefault="006D1554" w:rsidP="006D1554">
            <w:pPr>
              <w:ind w:firstLine="705"/>
              <w:jc w:val="both"/>
              <w:rPr>
                <w:i/>
              </w:rPr>
            </w:pPr>
            <w:r w:rsidRPr="00AC1C68">
              <w:t xml:space="preserve">В розрізі видів діяльності, крім зазначеного, </w:t>
            </w:r>
            <w:r w:rsidRPr="00AC1C68">
              <w:rPr>
                <w:bCs/>
              </w:rPr>
              <w:t xml:space="preserve">найвищий рівень </w:t>
            </w:r>
            <w:r w:rsidRPr="00AC1C68">
              <w:t xml:space="preserve">середньомісячної заробітної плати в області за січень - листопад 2017 року досягнуто у працівників, які зайняті у </w:t>
            </w:r>
            <w:r w:rsidRPr="00AC1C68">
              <w:rPr>
                <w:bCs/>
              </w:rPr>
              <w:t xml:space="preserve">сфері </w:t>
            </w:r>
            <w:r w:rsidRPr="00AC1C68">
              <w:rPr>
                <w:u w:val="single"/>
                <w:lang w:eastAsia="uk-UA"/>
              </w:rPr>
              <w:t>фінансової та страхової діяльності</w:t>
            </w:r>
            <w:r w:rsidRPr="00AC1C68">
              <w:rPr>
                <w:bCs/>
                <w:i/>
              </w:rPr>
              <w:t xml:space="preserve"> – </w:t>
            </w:r>
            <w:r w:rsidRPr="00AC1C68">
              <w:rPr>
                <w:bCs/>
              </w:rPr>
              <w:t xml:space="preserve">7950,81 </w:t>
            </w:r>
            <w:r w:rsidRPr="00AC1C68">
              <w:t xml:space="preserve">грн. </w:t>
            </w:r>
            <w:r w:rsidRPr="00AC1C68">
              <w:rPr>
                <w:i/>
              </w:rPr>
              <w:t>(в порівнянні з відповідним періодом минулого року зросла на 29,5%, на 32,8%  перевищує середній рівень по економіці)</w:t>
            </w:r>
            <w:r w:rsidRPr="00AC1C68">
              <w:t xml:space="preserve">, в галузі </w:t>
            </w:r>
            <w:r w:rsidRPr="00AC1C68">
              <w:rPr>
                <w:u w:val="single"/>
              </w:rPr>
              <w:t>промисловість</w:t>
            </w:r>
            <w:r w:rsidRPr="00AC1C68">
              <w:t xml:space="preserve">, де середньомісячна заробітна плата становить – </w:t>
            </w:r>
            <w:r w:rsidRPr="00AC1C68">
              <w:rPr>
                <w:bCs/>
              </w:rPr>
              <w:t xml:space="preserve">6949,86 </w:t>
            </w:r>
            <w:r w:rsidRPr="00AC1C68">
              <w:t xml:space="preserve">грн. </w:t>
            </w:r>
            <w:r w:rsidRPr="00AC1C68">
              <w:rPr>
                <w:i/>
              </w:rPr>
              <w:t>(зросла на 30,0% і на 16,1% перевищує середній рівень по економіці),</w:t>
            </w:r>
            <w:r w:rsidRPr="00AC1C68">
              <w:t xml:space="preserve"> тощо.</w:t>
            </w:r>
          </w:p>
          <w:p w:rsidR="006D1554" w:rsidRPr="00AC1C68" w:rsidRDefault="006D1554" w:rsidP="006D1554">
            <w:pPr>
              <w:ind w:firstLine="705"/>
              <w:jc w:val="both"/>
              <w:rPr>
                <w:i/>
              </w:rPr>
            </w:pPr>
            <w:r w:rsidRPr="00AC1C68">
              <w:rPr>
                <w:bCs/>
              </w:rPr>
              <w:t xml:space="preserve">Серед </w:t>
            </w:r>
            <w:r w:rsidRPr="00AC1C68">
              <w:t xml:space="preserve">промислових підприємств найвищий рівень середньомісячної заробітної плати за січень - листопад 2017 року у працівників, які займаються </w:t>
            </w:r>
            <w:r w:rsidRPr="00AC1C68">
              <w:rPr>
                <w:u w:val="single"/>
              </w:rPr>
              <w:t xml:space="preserve">виробництвом комп’ютерів, електронної та оптичної продукції </w:t>
            </w:r>
            <w:r w:rsidRPr="00AC1C68">
              <w:t xml:space="preserve">– </w:t>
            </w:r>
            <w:r w:rsidRPr="00AC1C68">
              <w:rPr>
                <w:bCs/>
              </w:rPr>
              <w:t xml:space="preserve">8543,57 </w:t>
            </w:r>
            <w:r w:rsidRPr="00AC1C68">
              <w:t xml:space="preserve">грн. </w:t>
            </w:r>
            <w:r w:rsidRPr="00AC1C68">
              <w:rPr>
                <w:i/>
              </w:rPr>
              <w:t>(в порівнянні з відповідним періодом минулого року зарплата зросла  на 35,7%, на 42,7%  перевищує середній рівень по економіці</w:t>
            </w:r>
            <w:r w:rsidRPr="00AC1C68">
              <w:t xml:space="preserve">), а найменший - на підприємствах, що займаються </w:t>
            </w:r>
            <w:r w:rsidRPr="00AC1C68">
              <w:rPr>
                <w:u w:val="single"/>
              </w:rPr>
              <w:t>виробництвом машин і устаткування, не віднесених до інших угрупувань</w:t>
            </w:r>
            <w:r w:rsidRPr="00AC1C68">
              <w:t xml:space="preserve"> </w:t>
            </w:r>
            <w:r w:rsidRPr="00AC1C68">
              <w:rPr>
                <w:i/>
              </w:rPr>
              <w:t xml:space="preserve">– </w:t>
            </w:r>
            <w:r w:rsidRPr="00AC1C68">
              <w:rPr>
                <w:bCs/>
              </w:rPr>
              <w:t>4559,93</w:t>
            </w:r>
            <w:r w:rsidRPr="00AC1C68">
              <w:t xml:space="preserve">грн. </w:t>
            </w:r>
            <w:r w:rsidRPr="00AC1C68">
              <w:rPr>
                <w:i/>
              </w:rPr>
              <w:t>(зросла на 44,4%, на 23,8% менше середнього рівня по економіці).</w:t>
            </w:r>
          </w:p>
          <w:p w:rsidR="006D1554" w:rsidRPr="00AC1C68" w:rsidRDefault="006D1554" w:rsidP="006D1554">
            <w:pPr>
              <w:ind w:firstLine="705"/>
              <w:jc w:val="both"/>
            </w:pPr>
            <w:r w:rsidRPr="00AC1C68">
              <w:t xml:space="preserve">Зачний рівень середньомісячної заробітної плати за січень - листопад 2017 року на підприємствах: з </w:t>
            </w:r>
            <w:r w:rsidRPr="00AC1C68">
              <w:rPr>
                <w:u w:val="single"/>
              </w:rPr>
              <w:t>постачання електроенергії, газу, пари та кондиційованого повітря</w:t>
            </w:r>
            <w:r w:rsidRPr="00AC1C68">
              <w:t xml:space="preserve"> – </w:t>
            </w:r>
            <w:r w:rsidRPr="00AC1C68">
              <w:rPr>
                <w:bCs/>
              </w:rPr>
              <w:t xml:space="preserve">7670,01 </w:t>
            </w:r>
            <w:r w:rsidRPr="00AC1C68">
              <w:t xml:space="preserve">грн. </w:t>
            </w:r>
            <w:r w:rsidRPr="00AC1C68">
              <w:rPr>
                <w:i/>
              </w:rPr>
              <w:t xml:space="preserve">(ріст на 23,1%, на 28,1%   перевищує середній рівень по економіці області), </w:t>
            </w:r>
            <w:r w:rsidRPr="00AC1C68">
              <w:t>з</w:t>
            </w:r>
            <w:r w:rsidRPr="00AC1C68">
              <w:rPr>
                <w:u w:val="single"/>
              </w:rPr>
              <w:t xml:space="preserve"> виробництва харчових продуктів, напоїв та тютюнових виробів</w:t>
            </w:r>
            <w:r w:rsidRPr="00AC1C68">
              <w:t xml:space="preserve"> – </w:t>
            </w:r>
            <w:r w:rsidRPr="00AC1C68">
              <w:rPr>
                <w:bCs/>
              </w:rPr>
              <w:t xml:space="preserve">7734,95 </w:t>
            </w:r>
            <w:r w:rsidRPr="00AC1C68">
              <w:t xml:space="preserve">грн. </w:t>
            </w:r>
            <w:r w:rsidRPr="00AC1C68">
              <w:rPr>
                <w:i/>
              </w:rPr>
              <w:t>(ріст на 30,0%, на 29,2%  перевищує середній рівень заробітної плати по економіці області</w:t>
            </w:r>
            <w:r w:rsidRPr="00AC1C68">
              <w:t>), з</w:t>
            </w:r>
            <w:r w:rsidRPr="00AC1C68">
              <w:rPr>
                <w:u w:val="single"/>
              </w:rPr>
              <w:t xml:space="preserve"> виробництва меблів, іншої продукції, ремонт і монтаж машин і устаткування  </w:t>
            </w:r>
            <w:r w:rsidRPr="00AC1C68">
              <w:t xml:space="preserve">– </w:t>
            </w:r>
            <w:r w:rsidRPr="00AC1C68">
              <w:rPr>
                <w:bCs/>
              </w:rPr>
              <w:t xml:space="preserve">7226,71 </w:t>
            </w:r>
            <w:r w:rsidRPr="00AC1C68">
              <w:t xml:space="preserve">грн. </w:t>
            </w:r>
            <w:r w:rsidRPr="00AC1C68">
              <w:rPr>
                <w:i/>
              </w:rPr>
              <w:t>(ріст на 31,3%, на 20,7%  перевищує середній рівень по економіці</w:t>
            </w:r>
            <w:r w:rsidRPr="00AC1C68">
              <w:t>),  з</w:t>
            </w:r>
            <w:r w:rsidRPr="00AC1C68">
              <w:rPr>
                <w:u w:val="single"/>
              </w:rPr>
              <w:t xml:space="preserve"> виробництва автотранспортних засобів, причепів і напівпричепів та інших транспортних засобів </w:t>
            </w:r>
            <w:r w:rsidRPr="00AC1C68">
              <w:t xml:space="preserve">– </w:t>
            </w:r>
            <w:r w:rsidRPr="00AC1C68">
              <w:rPr>
                <w:bCs/>
              </w:rPr>
              <w:t xml:space="preserve">6750,29 </w:t>
            </w:r>
            <w:r w:rsidRPr="00AC1C68">
              <w:t xml:space="preserve">грн. </w:t>
            </w:r>
            <w:r w:rsidRPr="00AC1C68">
              <w:rPr>
                <w:i/>
              </w:rPr>
              <w:t>(ріст в 1,7 рази, на 12,8%  перевищує середній рівень по економіці</w:t>
            </w:r>
            <w:r w:rsidRPr="00AC1C68">
              <w:t xml:space="preserve">),  тощо. </w:t>
            </w:r>
          </w:p>
          <w:p w:rsidR="006D1554" w:rsidRPr="00AC1C68" w:rsidRDefault="006D1554" w:rsidP="006D1554">
            <w:pPr>
              <w:pStyle w:val="310"/>
              <w:ind w:firstLine="735"/>
              <w:rPr>
                <w:i/>
                <w:sz w:val="24"/>
              </w:rPr>
            </w:pPr>
            <w:r w:rsidRPr="00AC1C68">
              <w:rPr>
                <w:sz w:val="24"/>
              </w:rPr>
              <w:t xml:space="preserve">В галузі </w:t>
            </w:r>
            <w:r w:rsidRPr="00AC1C68">
              <w:rPr>
                <w:sz w:val="24"/>
                <w:u w:val="single"/>
              </w:rPr>
              <w:t xml:space="preserve">сільське господарство, лісове господарство та рибне господарство </w:t>
            </w:r>
            <w:r w:rsidRPr="00AC1C68">
              <w:rPr>
                <w:sz w:val="24"/>
              </w:rPr>
              <w:t xml:space="preserve">середньомісячна заробітна плата працівників за січень - листопад 2017 року складає </w:t>
            </w:r>
            <w:r w:rsidRPr="00AC1C68">
              <w:rPr>
                <w:bCs/>
                <w:sz w:val="24"/>
              </w:rPr>
              <w:t xml:space="preserve">6267,64 </w:t>
            </w:r>
            <w:r w:rsidRPr="00AC1C68">
              <w:rPr>
                <w:sz w:val="24"/>
              </w:rPr>
              <w:t xml:space="preserve">грн. і зросла до відповідного періоду 2016 року в 1,5 рази та  на 4,7% більше середнього рівня по економіці. В тому числі по виду діяльності </w:t>
            </w:r>
            <w:r w:rsidRPr="00AC1C68">
              <w:rPr>
                <w:sz w:val="24"/>
                <w:u w:val="single"/>
              </w:rPr>
              <w:t xml:space="preserve">сільське господарство </w:t>
            </w:r>
            <w:r w:rsidRPr="00AC1C68">
              <w:rPr>
                <w:sz w:val="24"/>
              </w:rPr>
              <w:t xml:space="preserve">– зарплата у сільгоспвиробників зросла майже в 1,5 рази  і складає </w:t>
            </w:r>
            <w:r w:rsidRPr="00AC1C68">
              <w:rPr>
                <w:bCs/>
                <w:sz w:val="24"/>
              </w:rPr>
              <w:t xml:space="preserve">5990,10 </w:t>
            </w:r>
            <w:r w:rsidRPr="00AC1C68">
              <w:rPr>
                <w:sz w:val="24"/>
              </w:rPr>
              <w:t>грн.</w:t>
            </w:r>
            <w:r w:rsidRPr="00AC1C68">
              <w:rPr>
                <w:i/>
                <w:sz w:val="24"/>
              </w:rPr>
              <w:t xml:space="preserve"> (на 0,1% більше середнього рівня по економіці області).</w:t>
            </w:r>
          </w:p>
          <w:p w:rsidR="006D1554" w:rsidRPr="00AC1C68" w:rsidRDefault="006D1554" w:rsidP="006D1554">
            <w:pPr>
              <w:ind w:firstLine="705"/>
              <w:jc w:val="both"/>
              <w:rPr>
                <w:i/>
              </w:rPr>
            </w:pPr>
            <w:r w:rsidRPr="00AC1C68">
              <w:t xml:space="preserve">Серед непромислових видів діяльності: у сфері </w:t>
            </w:r>
            <w:r w:rsidRPr="00AC1C68">
              <w:rPr>
                <w:u w:val="single"/>
              </w:rPr>
              <w:t>державного управління й оборони; обов’язкового соціального страхування</w:t>
            </w:r>
            <w:r w:rsidRPr="00AC1C68">
              <w:t xml:space="preserve"> середньомісячна заробітна плата за звітний період  становить </w:t>
            </w:r>
            <w:r w:rsidRPr="00AC1C68">
              <w:rPr>
                <w:bCs/>
              </w:rPr>
              <w:t xml:space="preserve">7340,02 </w:t>
            </w:r>
            <w:r w:rsidRPr="00AC1C68">
              <w:t xml:space="preserve">грн. </w:t>
            </w:r>
            <w:r w:rsidRPr="00AC1C68">
              <w:rPr>
                <w:i/>
              </w:rPr>
              <w:t>( зросла майже в 1,6 рази і  на 22,6% більше середнього рівня по економіці);</w:t>
            </w:r>
            <w:r w:rsidRPr="00AC1C68">
              <w:t xml:space="preserve"> в галузі </w:t>
            </w:r>
            <w:r w:rsidRPr="00AC1C68">
              <w:rPr>
                <w:u w:val="single"/>
              </w:rPr>
              <w:t>транспорту, складського господарства, поштової та кур’єрської діяльності</w:t>
            </w:r>
            <w:r w:rsidRPr="00AC1C68">
              <w:t xml:space="preserve"> – </w:t>
            </w:r>
            <w:r w:rsidRPr="00AC1C68">
              <w:rPr>
                <w:bCs/>
              </w:rPr>
              <w:t xml:space="preserve">6630,81 </w:t>
            </w:r>
            <w:r w:rsidRPr="00AC1C68">
              <w:t xml:space="preserve">грн. </w:t>
            </w:r>
            <w:r w:rsidRPr="00AC1C68">
              <w:rPr>
                <w:i/>
              </w:rPr>
              <w:t>(зросла на 39,1% і на 10,8% перевищує середній рівень по економіці)</w:t>
            </w:r>
            <w:r w:rsidRPr="00AC1C68">
              <w:t xml:space="preserve">, в тому числі </w:t>
            </w:r>
            <w:r w:rsidRPr="00AC1C68">
              <w:rPr>
                <w:iCs/>
                <w:u w:val="single"/>
              </w:rPr>
              <w:t>діяльність у сфері транспорту</w:t>
            </w:r>
            <w:r w:rsidRPr="00AC1C68">
              <w:rPr>
                <w:iCs/>
                <w:lang w:val="ru-RU"/>
              </w:rPr>
              <w:t xml:space="preserve"> </w:t>
            </w:r>
            <w:r w:rsidRPr="00AC1C68">
              <w:rPr>
                <w:iCs/>
              </w:rPr>
              <w:t xml:space="preserve"> </w:t>
            </w:r>
            <w:r w:rsidRPr="00AC1C68">
              <w:t xml:space="preserve">– </w:t>
            </w:r>
            <w:r w:rsidRPr="00AC1C68">
              <w:rPr>
                <w:lang w:val="ru-RU"/>
              </w:rPr>
              <w:t xml:space="preserve"> </w:t>
            </w:r>
            <w:r w:rsidRPr="00AC1C68">
              <w:rPr>
                <w:bCs/>
              </w:rPr>
              <w:t>6911,25</w:t>
            </w:r>
            <w:r w:rsidRPr="00AC1C68">
              <w:rPr>
                <w:bCs/>
                <w:lang w:val="ru-RU"/>
              </w:rPr>
              <w:t xml:space="preserve"> </w:t>
            </w:r>
            <w:r w:rsidRPr="00AC1C68">
              <w:t xml:space="preserve">грн. </w:t>
            </w:r>
            <w:r w:rsidRPr="00AC1C68">
              <w:rPr>
                <w:i/>
              </w:rPr>
              <w:t xml:space="preserve">(зросла на 42,0% і на 15,5% перевищує середній рівень по економіці);  </w:t>
            </w:r>
            <w:r w:rsidRPr="00AC1C68">
              <w:t>тощо.</w:t>
            </w:r>
          </w:p>
          <w:p w:rsidR="006D1554" w:rsidRPr="00AC1C68" w:rsidRDefault="006D1554" w:rsidP="006D1554">
            <w:pPr>
              <w:ind w:firstLine="705"/>
              <w:jc w:val="both"/>
              <w:rPr>
                <w:i/>
              </w:rPr>
            </w:pPr>
            <w:r w:rsidRPr="00AC1C68">
              <w:t xml:space="preserve">Також наростили рівень оплати праці на підприємствах  </w:t>
            </w:r>
            <w:r w:rsidRPr="00AC1C68">
              <w:rPr>
                <w:u w:val="single"/>
              </w:rPr>
              <w:t>будівництва</w:t>
            </w:r>
            <w:r w:rsidRPr="00AC1C68">
              <w:t xml:space="preserve"> -  зросла в 1,6 рази і склала </w:t>
            </w:r>
            <w:r w:rsidRPr="00AC1C68">
              <w:rPr>
                <w:bCs/>
              </w:rPr>
              <w:t xml:space="preserve">6274,84 </w:t>
            </w:r>
            <w:r w:rsidRPr="00AC1C68">
              <w:t>грн</w:t>
            </w:r>
            <w:r w:rsidRPr="00AC1C68">
              <w:rPr>
                <w:i/>
              </w:rPr>
              <w:t>. (на 4,8% більше середнього рівня по економіці);</w:t>
            </w:r>
            <w:r w:rsidRPr="00AC1C68">
              <w:t xml:space="preserve">  у сфері  </w:t>
            </w:r>
            <w:r w:rsidRPr="00AC1C68">
              <w:rPr>
                <w:u w:val="single"/>
              </w:rPr>
              <w:t>професійної, наукової та технічної діяльності</w:t>
            </w:r>
            <w:r w:rsidRPr="00AC1C68">
              <w:t xml:space="preserve"> – середньомісячна зарплата </w:t>
            </w:r>
            <w:r w:rsidRPr="00AC1C68">
              <w:lastRenderedPageBreak/>
              <w:t xml:space="preserve">зросла на 43,9% і склала </w:t>
            </w:r>
            <w:r w:rsidRPr="00AC1C68">
              <w:rPr>
                <w:bCs/>
              </w:rPr>
              <w:t xml:space="preserve">5811,33 </w:t>
            </w:r>
            <w:r w:rsidRPr="00AC1C68">
              <w:t>грн</w:t>
            </w:r>
            <w:r w:rsidRPr="00AC1C68">
              <w:rPr>
                <w:i/>
              </w:rPr>
              <w:t xml:space="preserve">. (на 2,9% менше  середнього рівня по економіці); </w:t>
            </w:r>
            <w:r w:rsidRPr="00AC1C68">
              <w:rPr>
                <w:u w:val="single"/>
              </w:rPr>
              <w:t>оптової та роздрібної торгівлі, ремонту автотранспортних засобів і мотоциклів</w:t>
            </w:r>
            <w:r w:rsidRPr="00AC1C68">
              <w:t xml:space="preserve"> – зросла в 1,5 рази і становить </w:t>
            </w:r>
            <w:r w:rsidRPr="00AC1C68">
              <w:rPr>
                <w:bCs/>
              </w:rPr>
              <w:t xml:space="preserve">5641,72 </w:t>
            </w:r>
            <w:r w:rsidRPr="00AC1C68">
              <w:t>грн.</w:t>
            </w:r>
            <w:r w:rsidRPr="00AC1C68">
              <w:rPr>
                <w:i/>
              </w:rPr>
              <w:t xml:space="preserve"> (на 5,7% менше  середнього рівня по економіці); </w:t>
            </w:r>
            <w:r w:rsidRPr="00AC1C68">
              <w:t xml:space="preserve">в установах </w:t>
            </w:r>
            <w:r w:rsidRPr="00AC1C68">
              <w:rPr>
                <w:u w:val="single"/>
              </w:rPr>
              <w:t>освіти</w:t>
            </w:r>
            <w:r w:rsidRPr="00AC1C68">
              <w:rPr>
                <w:i/>
              </w:rPr>
              <w:t xml:space="preserve">  -  </w:t>
            </w:r>
            <w:r w:rsidRPr="00AC1C68">
              <w:t xml:space="preserve">зросла майже в 1,6 рази і склала </w:t>
            </w:r>
            <w:r w:rsidRPr="00AC1C68">
              <w:rPr>
                <w:bCs/>
              </w:rPr>
              <w:t xml:space="preserve">5437,85 </w:t>
            </w:r>
            <w:r w:rsidRPr="00AC1C68">
              <w:t>грн</w:t>
            </w:r>
            <w:r w:rsidRPr="00AC1C68">
              <w:rPr>
                <w:i/>
              </w:rPr>
              <w:t xml:space="preserve">. (на 9,2% менше середнього рівня по економіці) </w:t>
            </w:r>
            <w:r w:rsidRPr="00AC1C68">
              <w:t>та ін.</w:t>
            </w:r>
          </w:p>
          <w:p w:rsidR="006D1554" w:rsidRPr="00AC1C68" w:rsidRDefault="006D1554" w:rsidP="006D1554">
            <w:pPr>
              <w:ind w:firstLine="708"/>
              <w:jc w:val="both"/>
            </w:pPr>
            <w:r w:rsidRPr="00AC1C68">
              <w:t xml:space="preserve">За  січень - листопад 2017 року значно меншим від середнього рівня по економіці області є рівень оплати праці працівників, </w:t>
            </w:r>
            <w:r w:rsidRPr="00AC1C68">
              <w:rPr>
                <w:iCs/>
              </w:rPr>
              <w:t>що зайняті</w:t>
            </w:r>
            <w:r w:rsidRPr="00AC1C68">
              <w:t xml:space="preserve">: </w:t>
            </w:r>
            <w:r w:rsidRPr="00AC1C68">
              <w:rPr>
                <w:u w:val="single"/>
              </w:rPr>
              <w:t>у сфері адміністративного та допоміжного обслуговування</w:t>
            </w:r>
            <w:r w:rsidRPr="00AC1C68">
              <w:t xml:space="preserve"> - на 30,1% менше (</w:t>
            </w:r>
            <w:r w:rsidRPr="00AC1C68">
              <w:rPr>
                <w:i/>
              </w:rPr>
              <w:t xml:space="preserve">складає </w:t>
            </w:r>
            <w:r w:rsidRPr="00AC1C68">
              <w:rPr>
                <w:bCs/>
                <w:i/>
              </w:rPr>
              <w:t xml:space="preserve">4185,59 </w:t>
            </w:r>
            <w:r w:rsidRPr="00AC1C68">
              <w:rPr>
                <w:i/>
              </w:rPr>
              <w:t xml:space="preserve">грн. і зросла </w:t>
            </w:r>
            <w:r w:rsidRPr="00AC1C68">
              <w:t>на 36,5%</w:t>
            </w:r>
            <w:r w:rsidRPr="00AC1C68">
              <w:rPr>
                <w:i/>
              </w:rPr>
              <w:t xml:space="preserve">), </w:t>
            </w:r>
            <w:r w:rsidRPr="00AC1C68">
              <w:rPr>
                <w:u w:val="single"/>
              </w:rPr>
              <w:t>у сфері мистецтва, спорту розваг та відпочинку</w:t>
            </w:r>
            <w:r w:rsidRPr="00AC1C68">
              <w:t xml:space="preserve"> - на 28,7% менше (</w:t>
            </w:r>
            <w:r w:rsidRPr="00AC1C68">
              <w:rPr>
                <w:i/>
              </w:rPr>
              <w:t xml:space="preserve">складає </w:t>
            </w:r>
            <w:r w:rsidRPr="00AC1C68">
              <w:rPr>
                <w:bCs/>
                <w:i/>
              </w:rPr>
              <w:t xml:space="preserve">4268,27 </w:t>
            </w:r>
            <w:r w:rsidRPr="00AC1C68">
              <w:rPr>
                <w:i/>
              </w:rPr>
              <w:t xml:space="preserve">грн. і зросла в 1,5 рази), </w:t>
            </w:r>
            <w:r w:rsidRPr="00AC1C68">
              <w:rPr>
                <w:iCs/>
                <w:u w:val="single"/>
              </w:rPr>
              <w:t>тимчасовим розміщуванням й організацією харчування</w:t>
            </w:r>
            <w:r w:rsidRPr="00AC1C68">
              <w:t xml:space="preserve"> - відповідно на 28,5%  менше  (</w:t>
            </w:r>
            <w:r w:rsidRPr="00AC1C68">
              <w:rPr>
                <w:i/>
              </w:rPr>
              <w:t xml:space="preserve">складає </w:t>
            </w:r>
            <w:r w:rsidRPr="00AC1C68">
              <w:t xml:space="preserve">– </w:t>
            </w:r>
            <w:r w:rsidRPr="00AC1C68">
              <w:rPr>
                <w:bCs/>
                <w:i/>
              </w:rPr>
              <w:t xml:space="preserve">4278,21 </w:t>
            </w:r>
            <w:r w:rsidRPr="00AC1C68">
              <w:rPr>
                <w:i/>
              </w:rPr>
              <w:t xml:space="preserve">грн. і зросла </w:t>
            </w:r>
            <w:r w:rsidRPr="00AC1C68">
              <w:t>в 1,5 рази</w:t>
            </w:r>
            <w:r w:rsidRPr="00AC1C68">
              <w:rPr>
                <w:i/>
              </w:rPr>
              <w:t xml:space="preserve">), </w:t>
            </w:r>
            <w:r w:rsidRPr="00AC1C68">
              <w:rPr>
                <w:u w:val="single"/>
              </w:rPr>
              <w:t>у сфері охорони здоров’я та надання соціальної допомоги</w:t>
            </w:r>
            <w:r w:rsidRPr="00AC1C68">
              <w:t xml:space="preserve"> - на 26,4% менше (</w:t>
            </w:r>
            <w:r w:rsidRPr="00AC1C68">
              <w:rPr>
                <w:i/>
              </w:rPr>
              <w:t xml:space="preserve">складає – </w:t>
            </w:r>
            <w:r w:rsidRPr="00AC1C68">
              <w:rPr>
                <w:bCs/>
                <w:i/>
              </w:rPr>
              <w:t xml:space="preserve">4404,10 </w:t>
            </w:r>
            <w:r w:rsidRPr="00AC1C68">
              <w:rPr>
                <w:i/>
              </w:rPr>
              <w:t xml:space="preserve">грн. і зросла </w:t>
            </w:r>
            <w:r w:rsidRPr="00AC1C68">
              <w:t>в 1,5 рази</w:t>
            </w:r>
            <w:r w:rsidRPr="00AC1C68">
              <w:rPr>
                <w:i/>
              </w:rPr>
              <w:t xml:space="preserve">), </w:t>
            </w:r>
            <w:r w:rsidRPr="00AC1C68">
              <w:t xml:space="preserve">на підприємствах, які займаються </w:t>
            </w:r>
            <w:r w:rsidRPr="00AC1C68">
              <w:rPr>
                <w:u w:val="single"/>
              </w:rPr>
              <w:t>операціями з нерухомим майном</w:t>
            </w:r>
            <w:r w:rsidRPr="00AC1C68">
              <w:t xml:space="preserve"> – на 20,9% менше</w:t>
            </w:r>
            <w:r w:rsidRPr="00AC1C68">
              <w:rPr>
                <w:i/>
              </w:rPr>
              <w:t xml:space="preserve"> (складає  </w:t>
            </w:r>
            <w:r w:rsidRPr="00AC1C68">
              <w:t xml:space="preserve">–  </w:t>
            </w:r>
            <w:r w:rsidRPr="00AC1C68">
              <w:rPr>
                <w:bCs/>
                <w:i/>
              </w:rPr>
              <w:t xml:space="preserve">4736,97 </w:t>
            </w:r>
            <w:r w:rsidRPr="00AC1C68">
              <w:rPr>
                <w:i/>
              </w:rPr>
              <w:t xml:space="preserve">грн. і зросла на 26,8%) </w:t>
            </w:r>
            <w:r w:rsidRPr="00AC1C68">
              <w:t>тощо.</w:t>
            </w:r>
          </w:p>
          <w:p w:rsidR="00BB3C49" w:rsidRPr="00BB3C49" w:rsidRDefault="00BB3C49" w:rsidP="00BB3C49">
            <w:pPr>
              <w:pStyle w:val="310"/>
              <w:snapToGrid w:val="0"/>
              <w:ind w:firstLine="346"/>
              <w:rPr>
                <w:sz w:val="24"/>
              </w:rPr>
            </w:pPr>
          </w:p>
          <w:p w:rsidR="00BB3C49" w:rsidRPr="00BB3C49" w:rsidRDefault="00BB3C49" w:rsidP="00BB3C49">
            <w:pPr>
              <w:pStyle w:val="310"/>
              <w:snapToGrid w:val="0"/>
              <w:ind w:firstLine="346"/>
              <w:rPr>
                <w:sz w:val="24"/>
              </w:rPr>
            </w:pPr>
          </w:p>
          <w:p w:rsidR="00BB3C49" w:rsidRPr="00BB3C49" w:rsidRDefault="00BB3C49" w:rsidP="00BB3C49">
            <w:pPr>
              <w:pStyle w:val="310"/>
              <w:snapToGrid w:val="0"/>
              <w:ind w:firstLine="346"/>
              <w:rPr>
                <w:sz w:val="24"/>
              </w:rPr>
            </w:pPr>
            <w:r w:rsidRPr="00BB3C49">
              <w:rPr>
                <w:sz w:val="24"/>
              </w:rPr>
              <w:t>Середньомісячна заробітна плата за   III квартал  2017 року у порівнянні  до аналогічного періоду 2016 року зросла на 42,8%  і становить 6333 грн.</w:t>
            </w:r>
          </w:p>
          <w:p w:rsidR="00BB3C49" w:rsidRPr="00BB3C49" w:rsidRDefault="00BB3C49" w:rsidP="00BB3C49">
            <w:pPr>
              <w:pStyle w:val="310"/>
              <w:snapToGrid w:val="0"/>
              <w:ind w:firstLine="346"/>
              <w:rPr>
                <w:sz w:val="24"/>
              </w:rPr>
            </w:pPr>
            <w:r w:rsidRPr="00BB3C49">
              <w:rPr>
                <w:sz w:val="24"/>
              </w:rPr>
              <w:t xml:space="preserve">В розрізі адміністративно-територіальних одиниць вище середнього рівня по  області  за липень-вересень 2017 року   отримують  заробітну  плату  працівники  4 міст обласного значення: </w:t>
            </w:r>
          </w:p>
          <w:p w:rsidR="00BB3C49" w:rsidRPr="00BB3C49" w:rsidRDefault="00BB3C49" w:rsidP="00BB3C49">
            <w:pPr>
              <w:pStyle w:val="310"/>
              <w:snapToGrid w:val="0"/>
              <w:ind w:firstLine="346"/>
              <w:rPr>
                <w:sz w:val="24"/>
              </w:rPr>
            </w:pPr>
            <w:r w:rsidRPr="00BB3C49">
              <w:rPr>
                <w:sz w:val="24"/>
              </w:rPr>
              <w:t>-м. Ладижин – перевищує майже в 1,6 рази  і складає 10032 грн. (на 27,5% більше середньомісячної заробітної плати за  липень-вересень 2016  року);</w:t>
            </w:r>
          </w:p>
          <w:p w:rsidR="00BB3C49" w:rsidRPr="00BB3C49" w:rsidRDefault="00BB3C49" w:rsidP="00BB3C49">
            <w:pPr>
              <w:pStyle w:val="310"/>
              <w:snapToGrid w:val="0"/>
              <w:ind w:firstLine="346"/>
              <w:rPr>
                <w:sz w:val="24"/>
              </w:rPr>
            </w:pPr>
            <w:r w:rsidRPr="00BB3C49">
              <w:rPr>
                <w:sz w:val="24"/>
              </w:rPr>
              <w:t xml:space="preserve">-м. Козятин – на  19,9% - 7591 грн. (+32,3%); </w:t>
            </w:r>
          </w:p>
          <w:p w:rsidR="00BB3C49" w:rsidRPr="00BB3C49" w:rsidRDefault="00BB3C49" w:rsidP="00BB3C49">
            <w:pPr>
              <w:pStyle w:val="310"/>
              <w:snapToGrid w:val="0"/>
              <w:ind w:firstLine="346"/>
              <w:rPr>
                <w:sz w:val="24"/>
              </w:rPr>
            </w:pPr>
            <w:r w:rsidRPr="00BB3C49">
              <w:rPr>
                <w:sz w:val="24"/>
              </w:rPr>
              <w:t>-м. Жмеринка – на 18,7% - 7516 грн. (+41,1%);</w:t>
            </w:r>
          </w:p>
          <w:p w:rsidR="00BB3C49" w:rsidRPr="00BB3C49" w:rsidRDefault="00BB3C49" w:rsidP="00BB3C49">
            <w:pPr>
              <w:pStyle w:val="310"/>
              <w:snapToGrid w:val="0"/>
              <w:ind w:firstLine="346"/>
              <w:rPr>
                <w:sz w:val="24"/>
              </w:rPr>
            </w:pPr>
            <w:r w:rsidRPr="00BB3C49">
              <w:rPr>
                <w:sz w:val="24"/>
              </w:rPr>
              <w:t>-м. Вінниця – на 8,2% - 6852 грн. (+41,9%);</w:t>
            </w:r>
          </w:p>
          <w:p w:rsidR="00BB3C49" w:rsidRPr="00BB3C49" w:rsidRDefault="00BB3C49" w:rsidP="000D6B14">
            <w:pPr>
              <w:pStyle w:val="310"/>
              <w:snapToGrid w:val="0"/>
              <w:rPr>
                <w:sz w:val="24"/>
              </w:rPr>
            </w:pPr>
            <w:r w:rsidRPr="00BB3C49">
              <w:rPr>
                <w:sz w:val="24"/>
              </w:rPr>
              <w:t>та  4 районів:</w:t>
            </w:r>
          </w:p>
          <w:p w:rsidR="00BB3C49" w:rsidRPr="00BB3C49" w:rsidRDefault="00BB3C49" w:rsidP="00BB3C49">
            <w:pPr>
              <w:pStyle w:val="310"/>
              <w:snapToGrid w:val="0"/>
              <w:ind w:firstLine="346"/>
              <w:rPr>
                <w:sz w:val="24"/>
              </w:rPr>
            </w:pPr>
            <w:r w:rsidRPr="00BB3C49">
              <w:rPr>
                <w:sz w:val="24"/>
              </w:rPr>
              <w:t>- Крижопільського – на 12,1% - 7098 грн. (в 1,5 рази більше);</w:t>
            </w:r>
          </w:p>
          <w:p w:rsidR="00BB3C49" w:rsidRPr="00BB3C49" w:rsidRDefault="00BB3C49" w:rsidP="00BB3C49">
            <w:pPr>
              <w:pStyle w:val="310"/>
              <w:snapToGrid w:val="0"/>
              <w:ind w:firstLine="346"/>
              <w:rPr>
                <w:sz w:val="24"/>
              </w:rPr>
            </w:pPr>
            <w:r w:rsidRPr="00BB3C49">
              <w:rPr>
                <w:sz w:val="24"/>
              </w:rPr>
              <w:t xml:space="preserve">- Тростянецького –  на 8,1% - 6849 грн. (+35,5%); </w:t>
            </w:r>
          </w:p>
          <w:p w:rsidR="00BB3C49" w:rsidRPr="00BB3C49" w:rsidRDefault="00BB3C49" w:rsidP="00BB3C49">
            <w:pPr>
              <w:pStyle w:val="310"/>
              <w:snapToGrid w:val="0"/>
              <w:ind w:firstLine="346"/>
              <w:rPr>
                <w:sz w:val="24"/>
              </w:rPr>
            </w:pPr>
            <w:r w:rsidRPr="00BB3C49">
              <w:rPr>
                <w:sz w:val="24"/>
              </w:rPr>
              <w:t>- Гайсинського – на 4,4% - 6610 грн. (+33,3%);</w:t>
            </w:r>
          </w:p>
          <w:p w:rsidR="00BB3C49" w:rsidRPr="00BB3C49" w:rsidRDefault="00BB3C49" w:rsidP="00BB3C49">
            <w:pPr>
              <w:pStyle w:val="310"/>
              <w:snapToGrid w:val="0"/>
              <w:ind w:firstLine="346"/>
              <w:rPr>
                <w:sz w:val="24"/>
              </w:rPr>
            </w:pPr>
            <w:r w:rsidRPr="00BB3C49">
              <w:rPr>
                <w:sz w:val="24"/>
              </w:rPr>
              <w:t>- Піщанського – на 0,1% - 6341 грн. (+35,9%).</w:t>
            </w:r>
          </w:p>
          <w:p w:rsidR="00BB3C49" w:rsidRPr="00BB3C49" w:rsidRDefault="00BB3C49" w:rsidP="00BB3C49">
            <w:pPr>
              <w:pStyle w:val="310"/>
              <w:snapToGrid w:val="0"/>
              <w:ind w:firstLine="346"/>
              <w:rPr>
                <w:sz w:val="24"/>
              </w:rPr>
            </w:pPr>
          </w:p>
          <w:p w:rsidR="00BB3C49" w:rsidRPr="00BB3C49" w:rsidRDefault="00BB3C49" w:rsidP="00BB3C49">
            <w:pPr>
              <w:pStyle w:val="310"/>
              <w:snapToGrid w:val="0"/>
              <w:ind w:firstLine="346"/>
              <w:rPr>
                <w:sz w:val="24"/>
              </w:rPr>
            </w:pPr>
            <w:r w:rsidRPr="00BB3C49">
              <w:rPr>
                <w:sz w:val="24"/>
              </w:rPr>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BB3C49" w:rsidRPr="00BB3C49" w:rsidRDefault="000D6B14" w:rsidP="00BB3C49">
            <w:pPr>
              <w:pStyle w:val="310"/>
              <w:snapToGrid w:val="0"/>
              <w:ind w:firstLine="346"/>
              <w:rPr>
                <w:sz w:val="24"/>
              </w:rPr>
            </w:pPr>
            <w:r>
              <w:rPr>
                <w:sz w:val="24"/>
              </w:rPr>
              <w:t>-</w:t>
            </w:r>
            <w:r w:rsidR="00BB3C49" w:rsidRPr="00BB3C49">
              <w:rPr>
                <w:sz w:val="24"/>
              </w:rPr>
              <w:t>Теплицький на 28,6% менше, становить 4519 грн. (на 46% більше рівня липня-вересня 2016 року);</w:t>
            </w:r>
          </w:p>
          <w:p w:rsidR="00BB3C49" w:rsidRPr="00BB3C49" w:rsidRDefault="00BB3C49" w:rsidP="00BB3C49">
            <w:pPr>
              <w:pStyle w:val="310"/>
              <w:snapToGrid w:val="0"/>
              <w:ind w:firstLine="346"/>
              <w:rPr>
                <w:sz w:val="24"/>
              </w:rPr>
            </w:pPr>
            <w:r w:rsidRPr="00BB3C49">
              <w:rPr>
                <w:sz w:val="24"/>
              </w:rPr>
              <w:t>-Оратівський – на 25,3%, 4730 грн. (на 42%  більше);</w:t>
            </w:r>
          </w:p>
          <w:p w:rsidR="00BB3C49" w:rsidRPr="00BB3C49" w:rsidRDefault="00BB3C49" w:rsidP="00BB3C49">
            <w:pPr>
              <w:pStyle w:val="310"/>
              <w:snapToGrid w:val="0"/>
              <w:ind w:firstLine="346"/>
              <w:rPr>
                <w:sz w:val="24"/>
              </w:rPr>
            </w:pPr>
            <w:r w:rsidRPr="00BB3C49">
              <w:rPr>
                <w:sz w:val="24"/>
              </w:rPr>
              <w:t>-Жмеринський – на 23,9%, 4822 грн. (в 1,5 рази більше);</w:t>
            </w:r>
          </w:p>
          <w:p w:rsidR="00BB3C49" w:rsidRPr="00BB3C49" w:rsidRDefault="00BB3C49" w:rsidP="00BB3C49">
            <w:pPr>
              <w:pStyle w:val="310"/>
              <w:snapToGrid w:val="0"/>
              <w:ind w:firstLine="346"/>
              <w:rPr>
                <w:sz w:val="24"/>
              </w:rPr>
            </w:pPr>
            <w:r w:rsidRPr="00BB3C49">
              <w:rPr>
                <w:sz w:val="24"/>
              </w:rPr>
              <w:t>-Могилів-Подільський – на 23,6%, 4837 грн. (майже в 1,7 рази більше);</w:t>
            </w:r>
          </w:p>
          <w:p w:rsidR="00BB3C49" w:rsidRPr="00BB3C49" w:rsidRDefault="00BB3C49" w:rsidP="00BB3C49">
            <w:pPr>
              <w:pStyle w:val="310"/>
              <w:snapToGrid w:val="0"/>
              <w:ind w:firstLine="346"/>
              <w:rPr>
                <w:sz w:val="24"/>
              </w:rPr>
            </w:pPr>
            <w:r w:rsidRPr="00BB3C49">
              <w:rPr>
                <w:sz w:val="24"/>
              </w:rPr>
              <w:t>-Ямпільський – на 23,1%, 4872 грн. (на 34,6% більше), тощо.</w:t>
            </w:r>
          </w:p>
          <w:p w:rsidR="00BB3C49" w:rsidRPr="00BB3C49" w:rsidRDefault="00BB3C49" w:rsidP="00BB3C49">
            <w:pPr>
              <w:pStyle w:val="310"/>
              <w:snapToGrid w:val="0"/>
              <w:ind w:firstLine="346"/>
              <w:rPr>
                <w:sz w:val="24"/>
              </w:rPr>
            </w:pPr>
            <w:r w:rsidRPr="00BB3C49">
              <w:rPr>
                <w:sz w:val="24"/>
              </w:rPr>
              <w:t>Протягом липня-вересня 2017 року  в порівнянні з аналогічним періодом минулого року наростили середньомісячну заробітну плату всі міста обласного значення (найбільше м. Могилів-Подільський – на 47,9%)  та усі 27 районів.</w:t>
            </w:r>
          </w:p>
          <w:p w:rsidR="00BB3C49" w:rsidRPr="00BB3C49" w:rsidRDefault="00BB3C49" w:rsidP="00BB3C49">
            <w:pPr>
              <w:pStyle w:val="310"/>
              <w:snapToGrid w:val="0"/>
              <w:ind w:firstLine="346"/>
              <w:rPr>
                <w:sz w:val="24"/>
              </w:rPr>
            </w:pPr>
            <w:r w:rsidRPr="00BB3C49">
              <w:rPr>
                <w:sz w:val="24"/>
              </w:rPr>
              <w:t xml:space="preserve">Найбільший темп приросту рівня середньомісячної заробітної плати за III квартал 2017 року в порівнянні з III кварталом 2016 року спостерігається у наступних районах: Чечельницькому – майже в 1,9 рази більше (складає 55329 грн.), Чернівецькому - в 1,7 рази (5311 грн.),  Липовецькому – майже в 1,7 рази (5669 грн.),   Могилів-Подільському  – майже в 1,7 рази (4837 грн.),  тощо.  </w:t>
            </w:r>
          </w:p>
          <w:p w:rsidR="009543EB" w:rsidRPr="00514059" w:rsidRDefault="00BB3C49" w:rsidP="00BB3C49">
            <w:pPr>
              <w:ind w:firstLine="346"/>
              <w:jc w:val="both"/>
              <w:rPr>
                <w:highlight w:val="yellow"/>
              </w:rPr>
            </w:pPr>
            <w:r w:rsidRPr="00BB3C49">
              <w:t>Найменший ріст зарплати на підприємствах Барського (на 31,6%, становить 5658 грн.), Гайсинського (на 33,3% становить 6610 грн.), Ямпільського (на 34,6%, 4872 грн.), Тростянецького (на 35,5%, 6849 грн.), Іллінецького (на 35,7%,  6247 грн.), Піщанського (на 35,9%, 6341 грн.) та Козятинського (на 36,6%, 5514 грн.)району</w:t>
            </w:r>
            <w:r w:rsidR="00875158" w:rsidRPr="00E90086">
              <w:t>.</w:t>
            </w:r>
          </w:p>
        </w:tc>
      </w:tr>
      <w:tr w:rsidR="009543EB" w:rsidRPr="00514059" w:rsidTr="00BF59E3">
        <w:trPr>
          <w:trHeight w:val="849"/>
        </w:trPr>
        <w:tc>
          <w:tcPr>
            <w:tcW w:w="1418" w:type="dxa"/>
          </w:tcPr>
          <w:p w:rsidR="009543EB" w:rsidRPr="00514059" w:rsidRDefault="009543EB" w:rsidP="002D1625">
            <w:pPr>
              <w:rPr>
                <w:b/>
                <w:i/>
                <w:highlight w:val="yellow"/>
              </w:rPr>
            </w:pPr>
            <w:r w:rsidRPr="001F2EF3">
              <w:rPr>
                <w:b/>
                <w:i/>
              </w:rPr>
              <w:lastRenderedPageBreak/>
              <w:t>Заборгованість із виплати заробітної плати</w:t>
            </w:r>
          </w:p>
        </w:tc>
        <w:tc>
          <w:tcPr>
            <w:tcW w:w="8818" w:type="dxa"/>
          </w:tcPr>
          <w:p w:rsidR="006D1554" w:rsidRPr="00AC1C68" w:rsidRDefault="006D1554" w:rsidP="006D1554">
            <w:pPr>
              <w:ind w:firstLine="699"/>
              <w:jc w:val="both"/>
            </w:pPr>
            <w:r w:rsidRPr="00AC1C68">
              <w:t xml:space="preserve">Відповідно до інформації Головного управління статистики у Вінницькій області станом на 1 грудня 2017 року загальна сума заборгованості із заробітної плати на </w:t>
            </w:r>
            <w:r w:rsidRPr="00AC1C68">
              <w:rPr>
                <w:lang w:val="ru-RU"/>
              </w:rPr>
              <w:t>27</w:t>
            </w:r>
            <w:r w:rsidRPr="00AC1C68">
              <w:t xml:space="preserve"> підприємствах області (включаючи 7 економічно активних, 19 підприємств-банкрутів та 1 економічно неактивне, яке призупинило діяльність) становить в цілому 1218</w:t>
            </w:r>
            <w:r w:rsidRPr="00AC1C68">
              <w:rPr>
                <w:lang w:val="ru-RU"/>
              </w:rPr>
              <w:t>6</w:t>
            </w:r>
            <w:r w:rsidRPr="00AC1C68">
              <w:t>,</w:t>
            </w:r>
            <w:r w:rsidRPr="00AC1C68">
              <w:rPr>
                <w:lang w:val="ru-RU"/>
              </w:rPr>
              <w:t>5</w:t>
            </w:r>
            <w:r w:rsidRPr="00AC1C68">
              <w:rPr>
                <w:bCs/>
              </w:rPr>
              <w:t xml:space="preserve"> тис.грн.</w:t>
            </w:r>
            <w:r w:rsidRPr="00AC1C68">
              <w:t>, в порівнянні з даними на 01.01.2017 року збільшилась на 4,5%, або на 52</w:t>
            </w:r>
            <w:r w:rsidRPr="00AC1C68">
              <w:rPr>
                <w:lang w:val="ru-RU"/>
              </w:rPr>
              <w:t>9</w:t>
            </w:r>
            <w:r w:rsidRPr="00AC1C68">
              <w:t>,</w:t>
            </w:r>
            <w:r w:rsidRPr="00AC1C68">
              <w:rPr>
                <w:lang w:val="ru-RU"/>
              </w:rPr>
              <w:t>3</w:t>
            </w:r>
            <w:r w:rsidRPr="00AC1C68">
              <w:t xml:space="preserve"> тис.грн., а в порівнянні з 01.12.2017 року – зменшилась на 10,</w:t>
            </w:r>
            <w:r w:rsidRPr="00AC1C68">
              <w:rPr>
                <w:lang w:val="ru-RU"/>
              </w:rPr>
              <w:t>3</w:t>
            </w:r>
            <w:r w:rsidRPr="00AC1C68">
              <w:t>% або на 140</w:t>
            </w:r>
            <w:r w:rsidRPr="00AC1C68">
              <w:rPr>
                <w:lang w:val="ru-RU"/>
              </w:rPr>
              <w:t>6</w:t>
            </w:r>
            <w:r w:rsidRPr="00AC1C68">
              <w:t>,</w:t>
            </w:r>
            <w:r w:rsidRPr="00AC1C68">
              <w:rPr>
                <w:lang w:val="ru-RU"/>
              </w:rPr>
              <w:t>6</w:t>
            </w:r>
            <w:r w:rsidRPr="00AC1C68">
              <w:t xml:space="preserve"> тис.грн. За рівнем заборгованості із заробітної плати область займає </w:t>
            </w:r>
            <w:r w:rsidRPr="00AC1C68">
              <w:rPr>
                <w:lang w:val="ru-RU"/>
              </w:rPr>
              <w:t>7</w:t>
            </w:r>
            <w:r w:rsidRPr="00AC1C68">
              <w:t xml:space="preserve">  місце серед регіонів України, за  темпами її зміни в порівнянні з даними на 01.01.2017 року – </w:t>
            </w:r>
            <w:r w:rsidRPr="00AC1C68">
              <w:rPr>
                <w:lang w:val="ru-RU"/>
              </w:rPr>
              <w:t>8</w:t>
            </w:r>
            <w:r w:rsidRPr="00AC1C68">
              <w:t xml:space="preserve"> місце.</w:t>
            </w:r>
          </w:p>
          <w:p w:rsidR="00BB3C49" w:rsidRPr="00AC1C68" w:rsidRDefault="006D1554" w:rsidP="006D1554">
            <w:pPr>
              <w:ind w:firstLine="346"/>
              <w:jc w:val="both"/>
            </w:pPr>
            <w:r w:rsidRPr="00AC1C68">
              <w:t xml:space="preserve">Заборгованість </w:t>
            </w:r>
            <w:r w:rsidRPr="00AC1C68">
              <w:rPr>
                <w:u w:val="single"/>
              </w:rPr>
              <w:t>економічно активних підприємств</w:t>
            </w:r>
            <w:r w:rsidRPr="00AC1C68">
              <w:t xml:space="preserve"> області на звітну дату становить 414</w:t>
            </w:r>
            <w:r w:rsidRPr="00AC1C68">
              <w:rPr>
                <w:lang w:val="ru-RU"/>
              </w:rPr>
              <w:t>4</w:t>
            </w:r>
            <w:r w:rsidRPr="00AC1C68">
              <w:t>,</w:t>
            </w:r>
            <w:r w:rsidRPr="00AC1C68">
              <w:rPr>
                <w:lang w:val="ru-RU"/>
              </w:rPr>
              <w:t>4</w:t>
            </w:r>
            <w:r w:rsidRPr="00AC1C68">
              <w:t xml:space="preserve"> тис.грн. або 34,</w:t>
            </w:r>
            <w:r w:rsidRPr="00AC1C68">
              <w:rPr>
                <w:lang w:val="ru-RU"/>
              </w:rPr>
              <w:t>0</w:t>
            </w:r>
            <w:r w:rsidRPr="00AC1C68">
              <w:t>% від загальної суми  заборгованості і в порівнянні з 01.01.2017 року – збільшилась в 2,1 рази або на 214</w:t>
            </w:r>
            <w:r w:rsidRPr="00AC1C68">
              <w:rPr>
                <w:lang w:val="ru-RU"/>
              </w:rPr>
              <w:t>9</w:t>
            </w:r>
            <w:r w:rsidRPr="00AC1C68">
              <w:t>,</w:t>
            </w:r>
            <w:r w:rsidRPr="00AC1C68">
              <w:rPr>
                <w:lang w:val="ru-RU"/>
              </w:rPr>
              <w:t>8</w:t>
            </w:r>
            <w:r w:rsidRPr="00AC1C68">
              <w:t xml:space="preserve"> тис.грн., в порівнянні з 01.11.2017 року – скоротилась на 2</w:t>
            </w:r>
            <w:r w:rsidRPr="00AC1C68">
              <w:rPr>
                <w:lang w:val="ru-RU"/>
              </w:rPr>
              <w:t>5,9</w:t>
            </w:r>
            <w:r w:rsidRPr="00AC1C68">
              <w:t xml:space="preserve">% або на 1451,9 тис.грн. За рівнем заборгованості із заробітної плати на економічно активних підприємствах область займає   </w:t>
            </w:r>
            <w:r w:rsidRPr="00AC1C68">
              <w:rPr>
                <w:lang w:val="ru-RU"/>
              </w:rPr>
              <w:t>4</w:t>
            </w:r>
            <w:r w:rsidRPr="00AC1C68">
              <w:t xml:space="preserve"> місце серед регіонів України, за  темпами її зміни в порівнянні з даними на 01.01.2017 року – 1</w:t>
            </w:r>
            <w:r w:rsidRPr="00AC1C68">
              <w:rPr>
                <w:lang w:val="ru-RU"/>
              </w:rPr>
              <w:t>7</w:t>
            </w:r>
            <w:r w:rsidRPr="00AC1C68">
              <w:t xml:space="preserve"> місце.</w:t>
            </w:r>
            <w:r w:rsidR="00BB3C49" w:rsidRPr="00AC1C68">
              <w:t xml:space="preserve"> </w:t>
            </w:r>
          </w:p>
          <w:p w:rsidR="00BB3C49" w:rsidRPr="00AC1C68" w:rsidRDefault="00BB3C49" w:rsidP="00BB3C49">
            <w:pPr>
              <w:ind w:firstLine="346"/>
              <w:jc w:val="both"/>
            </w:pPr>
            <w:r w:rsidRPr="00AC1C68">
              <w:t xml:space="preserve">Сума боргу із заробітної плати на підприємствах-банкрутах області  з початку року зменшилась на 13,4% або на 1226,6 тис.грн., в порівнянні з 01.11.2017 року – зросла на 0,6% або на 45,3 тис.грн. та станом на 01.12.2017 року складає 7959,4 тис.грн. або 65,3%  від загальної суми боргу по області. </w:t>
            </w:r>
          </w:p>
          <w:p w:rsidR="00BB3C49" w:rsidRPr="00AC1C68" w:rsidRDefault="00BB3C49" w:rsidP="00BB3C49">
            <w:pPr>
              <w:ind w:firstLine="346"/>
              <w:jc w:val="both"/>
            </w:pPr>
            <w:r w:rsidRPr="00AC1C68">
              <w:t>Заборгованість із зарплати на економічно неактивних підприємствах (які призупинили діяльність) станом на звітну дату складає  82,7 тис.грн. або 0,</w:t>
            </w:r>
            <w:r w:rsidR="006D1554" w:rsidRPr="00AC1C68">
              <w:t>7</w:t>
            </w:r>
            <w:r w:rsidRPr="00AC1C68">
              <w:t>% від загальної суми боргу по області і  порівнянні з 01.01.2017 року не змінилась.</w:t>
            </w:r>
          </w:p>
          <w:p w:rsidR="00BB3C49" w:rsidRPr="00AC1C68" w:rsidRDefault="00BB3C49" w:rsidP="00BB3C49">
            <w:pPr>
              <w:ind w:firstLine="346"/>
              <w:jc w:val="both"/>
            </w:pPr>
          </w:p>
          <w:p w:rsidR="006D1554" w:rsidRPr="00AC1C68" w:rsidRDefault="006D1554" w:rsidP="006D1554">
            <w:pPr>
              <w:pStyle w:val="310"/>
              <w:ind w:firstLine="720"/>
              <w:rPr>
                <w:sz w:val="24"/>
              </w:rPr>
            </w:pPr>
            <w:r w:rsidRPr="00AC1C68">
              <w:rPr>
                <w:sz w:val="24"/>
              </w:rPr>
              <w:t>Сума невиплаченої заробітної плати станом на 01.1</w:t>
            </w:r>
            <w:r w:rsidRPr="00AC1C68">
              <w:rPr>
                <w:sz w:val="24"/>
                <w:lang w:val="ru-RU"/>
              </w:rPr>
              <w:t>2</w:t>
            </w:r>
            <w:r w:rsidRPr="00AC1C68">
              <w:rPr>
                <w:sz w:val="24"/>
              </w:rPr>
              <w:t>.2017 року складає 0,</w:t>
            </w:r>
            <w:r w:rsidRPr="00AC1C68">
              <w:rPr>
                <w:sz w:val="24"/>
                <w:lang w:val="ru-RU"/>
              </w:rPr>
              <w:t>7</w:t>
            </w:r>
            <w:r w:rsidRPr="00AC1C68">
              <w:rPr>
                <w:sz w:val="24"/>
              </w:rPr>
              <w:t>% фонду оплати праці за листопад 2017 року (</w:t>
            </w:r>
            <w:r w:rsidRPr="00AC1C68">
              <w:rPr>
                <w:sz w:val="24"/>
                <w:lang w:val="ru-RU"/>
              </w:rPr>
              <w:t>4</w:t>
            </w:r>
            <w:r w:rsidR="003768DF" w:rsidRPr="00AC1C68">
              <w:rPr>
                <w:sz w:val="24"/>
                <w:lang w:val="ru-RU"/>
              </w:rPr>
              <w:t xml:space="preserve"> </w:t>
            </w:r>
            <w:r w:rsidRPr="00AC1C68">
              <w:rPr>
                <w:sz w:val="24"/>
              </w:rPr>
              <w:t>місце серед регіонів України).</w:t>
            </w:r>
          </w:p>
          <w:p w:rsidR="006D1554" w:rsidRPr="00AC1C68" w:rsidRDefault="006D1554" w:rsidP="006D1554">
            <w:pPr>
              <w:pStyle w:val="310"/>
              <w:ind w:firstLine="720"/>
              <w:rPr>
                <w:sz w:val="24"/>
              </w:rPr>
            </w:pPr>
            <w:r w:rsidRPr="00AC1C68">
              <w:rPr>
                <w:sz w:val="24"/>
              </w:rPr>
              <w:t xml:space="preserve">Станом на 01.12.2017 року не виплачено заробітну плату </w:t>
            </w:r>
            <w:r w:rsidRPr="00AC1C68">
              <w:rPr>
                <w:sz w:val="24"/>
                <w:lang w:val="ru-RU"/>
              </w:rPr>
              <w:t>439</w:t>
            </w:r>
            <w:r w:rsidRPr="00AC1C68">
              <w:rPr>
                <w:sz w:val="24"/>
              </w:rPr>
              <w:t xml:space="preserve"> працівникам економічно активних підприємств </w:t>
            </w:r>
            <w:r w:rsidRPr="00AC1C68">
              <w:rPr>
                <w:i/>
                <w:sz w:val="24"/>
              </w:rPr>
              <w:t>(0,</w:t>
            </w:r>
            <w:r w:rsidRPr="00AC1C68">
              <w:rPr>
                <w:i/>
                <w:sz w:val="24"/>
                <w:lang w:val="ru-RU"/>
              </w:rPr>
              <w:t>2</w:t>
            </w:r>
            <w:r w:rsidRPr="00AC1C68">
              <w:rPr>
                <w:i/>
                <w:sz w:val="24"/>
              </w:rPr>
              <w:t>% середньооблікової кількості штатних працівників області)</w:t>
            </w:r>
            <w:r w:rsidRPr="00AC1C68">
              <w:rPr>
                <w:sz w:val="24"/>
              </w:rPr>
              <w:t xml:space="preserve">, що на </w:t>
            </w:r>
            <w:r w:rsidRPr="00AC1C68">
              <w:rPr>
                <w:sz w:val="24"/>
                <w:lang w:val="ru-RU"/>
              </w:rPr>
              <w:t>120</w:t>
            </w:r>
            <w:r w:rsidRPr="00AC1C68">
              <w:rPr>
                <w:sz w:val="24"/>
              </w:rPr>
              <w:t xml:space="preserve"> осіб більше ніж станом на 01.01.2017 року (</w:t>
            </w:r>
            <w:r w:rsidRPr="00AC1C68">
              <w:rPr>
                <w:i/>
                <w:sz w:val="24"/>
              </w:rPr>
              <w:t xml:space="preserve">кількість таких осіб складала </w:t>
            </w:r>
            <w:r w:rsidRPr="00AC1C68">
              <w:rPr>
                <w:sz w:val="24"/>
              </w:rPr>
              <w:t>319). Сума боргу із виплати заробітної плати, яка припадає на одного працівника, в середньому складає 9441 грн. (на 46,0%  перевищує обсяг середньої заробітної плати за листопад  2017 року).</w:t>
            </w:r>
          </w:p>
          <w:p w:rsidR="006D1554" w:rsidRPr="00AC1C68" w:rsidRDefault="006D1554" w:rsidP="006D1554">
            <w:pPr>
              <w:pStyle w:val="310"/>
              <w:ind w:firstLine="720"/>
              <w:rPr>
                <w:sz w:val="24"/>
              </w:rPr>
            </w:pPr>
          </w:p>
          <w:p w:rsidR="006D1554" w:rsidRPr="00AC1C68" w:rsidRDefault="006D1554" w:rsidP="006D1554">
            <w:pPr>
              <w:pStyle w:val="310"/>
              <w:ind w:firstLine="709"/>
              <w:rPr>
                <w:sz w:val="24"/>
                <w:u w:val="single"/>
              </w:rPr>
            </w:pPr>
            <w:r w:rsidRPr="00AC1C68">
              <w:rPr>
                <w:sz w:val="24"/>
              </w:rPr>
              <w:t xml:space="preserve">В розрізі основних видів економічної діяльності в структурі заборгованості із оплати праці області найбільшу питому вагу займають борги підприємств </w:t>
            </w:r>
            <w:r w:rsidRPr="00AC1C68">
              <w:rPr>
                <w:sz w:val="24"/>
                <w:u w:val="single"/>
              </w:rPr>
              <w:t>промисловості</w:t>
            </w:r>
            <w:r w:rsidRPr="00AC1C68">
              <w:rPr>
                <w:sz w:val="24"/>
              </w:rPr>
              <w:t xml:space="preserve"> (72,5%),</w:t>
            </w:r>
            <w:r w:rsidRPr="00AC1C68">
              <w:rPr>
                <w:sz w:val="24"/>
                <w:u w:val="single"/>
              </w:rPr>
              <w:t xml:space="preserve"> оптової та роздрібної торгівлі; ремонту автотранспортних засобів і мотоциклів</w:t>
            </w:r>
            <w:r w:rsidRPr="00AC1C68">
              <w:rPr>
                <w:sz w:val="24"/>
              </w:rPr>
              <w:t xml:space="preserve"> (16,1%),  </w:t>
            </w:r>
            <w:r w:rsidRPr="00AC1C68">
              <w:rPr>
                <w:sz w:val="24"/>
                <w:u w:val="single"/>
              </w:rPr>
              <w:t>будівництва</w:t>
            </w:r>
            <w:r w:rsidRPr="00AC1C68">
              <w:rPr>
                <w:sz w:val="24"/>
              </w:rPr>
              <w:t xml:space="preserve">  (5,8%),  тощо.</w:t>
            </w:r>
          </w:p>
          <w:p w:rsidR="006D1554" w:rsidRPr="00AC1C68" w:rsidRDefault="006D1554" w:rsidP="006D1554">
            <w:pPr>
              <w:pStyle w:val="310"/>
              <w:ind w:firstLine="720"/>
              <w:rPr>
                <w:i/>
                <w:sz w:val="24"/>
              </w:rPr>
            </w:pPr>
            <w:r w:rsidRPr="00AC1C68">
              <w:rPr>
                <w:sz w:val="24"/>
              </w:rPr>
              <w:t xml:space="preserve">На </w:t>
            </w:r>
            <w:r w:rsidRPr="00AC1C68">
              <w:rPr>
                <w:i/>
                <w:sz w:val="24"/>
              </w:rPr>
              <w:t>промислових підприємствах</w:t>
            </w:r>
            <w:r w:rsidRPr="00AC1C68">
              <w:rPr>
                <w:sz w:val="24"/>
              </w:rPr>
              <w:t xml:space="preserve"> області  заборгованість із заробітної плати станом на 01.1</w:t>
            </w:r>
            <w:r w:rsidRPr="00AC1C68">
              <w:rPr>
                <w:sz w:val="24"/>
                <w:lang w:val="ru-RU"/>
              </w:rPr>
              <w:t>2</w:t>
            </w:r>
            <w:r w:rsidRPr="00AC1C68">
              <w:rPr>
                <w:sz w:val="24"/>
              </w:rPr>
              <w:t xml:space="preserve">.2017 року склала </w:t>
            </w:r>
            <w:r w:rsidRPr="00AC1C68">
              <w:rPr>
                <w:sz w:val="24"/>
                <w:lang w:val="ru-RU"/>
              </w:rPr>
              <w:t>8832</w:t>
            </w:r>
            <w:r w:rsidRPr="00AC1C68">
              <w:rPr>
                <w:sz w:val="24"/>
              </w:rPr>
              <w:t>,</w:t>
            </w:r>
            <w:r w:rsidRPr="00AC1C68">
              <w:rPr>
                <w:sz w:val="24"/>
                <w:lang w:val="ru-RU"/>
              </w:rPr>
              <w:t>4</w:t>
            </w:r>
            <w:r w:rsidRPr="00AC1C68">
              <w:rPr>
                <w:sz w:val="24"/>
              </w:rPr>
              <w:t xml:space="preserve"> тис.грн. і в порівнянні з 01.01.2017 року збільшилась на </w:t>
            </w:r>
            <w:r w:rsidRPr="00AC1C68">
              <w:rPr>
                <w:sz w:val="24"/>
                <w:lang w:val="ru-RU"/>
              </w:rPr>
              <w:t>7</w:t>
            </w:r>
            <w:r w:rsidRPr="00AC1C68">
              <w:rPr>
                <w:sz w:val="24"/>
              </w:rPr>
              <w:t>,</w:t>
            </w:r>
            <w:r w:rsidRPr="00AC1C68">
              <w:rPr>
                <w:sz w:val="24"/>
                <w:lang w:val="ru-RU"/>
              </w:rPr>
              <w:t>3</w:t>
            </w:r>
            <w:r w:rsidRPr="00AC1C68">
              <w:rPr>
                <w:sz w:val="24"/>
              </w:rPr>
              <w:t xml:space="preserve">%, в тому числі на економічно активних промислових підприємствах борг становив </w:t>
            </w:r>
            <w:r w:rsidRPr="00AC1C68">
              <w:rPr>
                <w:sz w:val="24"/>
                <w:lang w:val="ru-RU"/>
              </w:rPr>
              <w:t>3590</w:t>
            </w:r>
            <w:r w:rsidRPr="00AC1C68">
              <w:rPr>
                <w:sz w:val="24"/>
              </w:rPr>
              <w:t>,</w:t>
            </w:r>
            <w:r w:rsidRPr="00AC1C68">
              <w:rPr>
                <w:sz w:val="24"/>
                <w:lang w:val="ru-RU"/>
              </w:rPr>
              <w:t>8</w:t>
            </w:r>
            <w:r w:rsidRPr="00AC1C68">
              <w:rPr>
                <w:sz w:val="24"/>
              </w:rPr>
              <w:t xml:space="preserve"> тис.грн.</w:t>
            </w:r>
            <w:r w:rsidRPr="00AC1C68">
              <w:rPr>
                <w:i/>
                <w:sz w:val="24"/>
              </w:rPr>
              <w:t xml:space="preserve"> (</w:t>
            </w:r>
            <w:r w:rsidRPr="00AC1C68">
              <w:rPr>
                <w:i/>
                <w:sz w:val="24"/>
                <w:lang w:val="ru-RU"/>
              </w:rPr>
              <w:t>40</w:t>
            </w:r>
            <w:r w:rsidRPr="00AC1C68">
              <w:rPr>
                <w:i/>
                <w:sz w:val="24"/>
              </w:rPr>
              <w:t>,</w:t>
            </w:r>
            <w:r w:rsidRPr="00AC1C68">
              <w:rPr>
                <w:i/>
                <w:sz w:val="24"/>
                <w:lang w:val="ru-RU"/>
              </w:rPr>
              <w:t>7</w:t>
            </w:r>
            <w:r w:rsidRPr="00AC1C68">
              <w:rPr>
                <w:i/>
                <w:sz w:val="24"/>
              </w:rPr>
              <w:t>% загальної суми боргу по галузі</w:t>
            </w:r>
            <w:r w:rsidRPr="00AC1C68">
              <w:rPr>
                <w:sz w:val="24"/>
              </w:rPr>
              <w:t xml:space="preserve">) і до 01.01.2017 року збільшився в </w:t>
            </w:r>
            <w:r w:rsidRPr="00AC1C68">
              <w:rPr>
                <w:sz w:val="24"/>
                <w:lang w:val="ru-RU"/>
              </w:rPr>
              <w:t>2</w:t>
            </w:r>
            <w:r w:rsidRPr="00AC1C68">
              <w:rPr>
                <w:sz w:val="24"/>
              </w:rPr>
              <w:t>,</w:t>
            </w:r>
            <w:r w:rsidRPr="00AC1C68">
              <w:rPr>
                <w:sz w:val="24"/>
                <w:lang w:val="ru-RU"/>
              </w:rPr>
              <w:t>4</w:t>
            </w:r>
            <w:r w:rsidRPr="00AC1C68">
              <w:rPr>
                <w:sz w:val="24"/>
              </w:rPr>
              <w:t xml:space="preserve"> рази. На промислових підприємствах-банкрутах сума боргу з оплати праці становила </w:t>
            </w:r>
            <w:r w:rsidRPr="00AC1C68">
              <w:rPr>
                <w:sz w:val="24"/>
                <w:lang w:val="ru-RU"/>
              </w:rPr>
              <w:t>5241</w:t>
            </w:r>
            <w:r w:rsidRPr="00AC1C68">
              <w:rPr>
                <w:sz w:val="24"/>
              </w:rPr>
              <w:t>,</w:t>
            </w:r>
            <w:r w:rsidRPr="00AC1C68">
              <w:rPr>
                <w:sz w:val="24"/>
                <w:lang w:val="ru-RU"/>
              </w:rPr>
              <w:t>6</w:t>
            </w:r>
            <w:r w:rsidRPr="00AC1C68">
              <w:rPr>
                <w:sz w:val="24"/>
              </w:rPr>
              <w:t xml:space="preserve">7 тис.грн. </w:t>
            </w:r>
            <w:r w:rsidRPr="00AC1C68">
              <w:rPr>
                <w:i/>
                <w:sz w:val="24"/>
              </w:rPr>
              <w:t>(</w:t>
            </w:r>
            <w:r w:rsidRPr="00AC1C68">
              <w:rPr>
                <w:i/>
                <w:sz w:val="24"/>
                <w:lang w:val="ru-RU"/>
              </w:rPr>
              <w:t>59</w:t>
            </w:r>
            <w:r w:rsidRPr="00AC1C68">
              <w:rPr>
                <w:i/>
                <w:sz w:val="24"/>
              </w:rPr>
              <w:t>,</w:t>
            </w:r>
            <w:r w:rsidRPr="00AC1C68">
              <w:rPr>
                <w:i/>
                <w:sz w:val="24"/>
                <w:lang w:val="ru-RU"/>
              </w:rPr>
              <w:t>3</w:t>
            </w:r>
            <w:r w:rsidRPr="00AC1C68">
              <w:rPr>
                <w:i/>
                <w:sz w:val="24"/>
              </w:rPr>
              <w:t>% загальної суми боргу по галузі</w:t>
            </w:r>
            <w:r w:rsidRPr="00AC1C68">
              <w:rPr>
                <w:sz w:val="24"/>
              </w:rPr>
              <w:t xml:space="preserve">) та проти 01.01.2017 року зменшилась на </w:t>
            </w:r>
            <w:r w:rsidRPr="00AC1C68">
              <w:rPr>
                <w:sz w:val="24"/>
                <w:lang w:val="ru-RU"/>
              </w:rPr>
              <w:t>20</w:t>
            </w:r>
            <w:r w:rsidRPr="00AC1C68">
              <w:rPr>
                <w:sz w:val="24"/>
              </w:rPr>
              <w:t>,</w:t>
            </w:r>
            <w:r w:rsidRPr="00AC1C68">
              <w:rPr>
                <w:sz w:val="24"/>
                <w:lang w:val="ru-RU"/>
              </w:rPr>
              <w:t>7</w:t>
            </w:r>
            <w:r w:rsidRPr="00AC1C68">
              <w:rPr>
                <w:sz w:val="24"/>
              </w:rPr>
              <w:t>%.</w:t>
            </w:r>
          </w:p>
          <w:p w:rsidR="006D1554" w:rsidRPr="00AC1C68" w:rsidRDefault="006D1554" w:rsidP="006D1554">
            <w:pPr>
              <w:pStyle w:val="310"/>
              <w:ind w:firstLine="720"/>
              <w:rPr>
                <w:sz w:val="24"/>
              </w:rPr>
            </w:pPr>
            <w:r w:rsidRPr="00AC1C68">
              <w:rPr>
                <w:sz w:val="24"/>
              </w:rPr>
              <w:t xml:space="preserve">На підприємствах </w:t>
            </w:r>
            <w:r w:rsidRPr="00AC1C68">
              <w:rPr>
                <w:i/>
                <w:sz w:val="24"/>
              </w:rPr>
              <w:t>оптової та роздрібної торгівлі; ремонту автотранспортних засобів і мотоциклів</w:t>
            </w:r>
            <w:r w:rsidRPr="00AC1C68">
              <w:rPr>
                <w:sz w:val="24"/>
              </w:rPr>
              <w:t xml:space="preserve">  сума боргу з початку 2017 року зменшилась на 9,2% і на звітну дату складала 1960,6 тис.грн.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6D1554" w:rsidRPr="00AC1C68" w:rsidRDefault="006D1554" w:rsidP="006D1554">
            <w:pPr>
              <w:pStyle w:val="310"/>
              <w:ind w:firstLine="720"/>
              <w:rPr>
                <w:i/>
                <w:sz w:val="24"/>
              </w:rPr>
            </w:pPr>
            <w:r w:rsidRPr="00AC1C68">
              <w:rPr>
                <w:sz w:val="24"/>
              </w:rPr>
              <w:t xml:space="preserve">В порівнянні з даними на 01.01.2017 року борг на підприємствах </w:t>
            </w:r>
            <w:r w:rsidRPr="00AC1C68">
              <w:rPr>
                <w:i/>
                <w:sz w:val="24"/>
              </w:rPr>
              <w:t>будівництва</w:t>
            </w:r>
            <w:r w:rsidRPr="00AC1C68">
              <w:rPr>
                <w:sz w:val="24"/>
              </w:rPr>
              <w:t xml:space="preserve"> збільшився  на </w:t>
            </w:r>
            <w:r w:rsidRPr="00AC1C68">
              <w:rPr>
                <w:sz w:val="24"/>
                <w:lang w:val="ru-RU"/>
              </w:rPr>
              <w:t>4</w:t>
            </w:r>
            <w:r w:rsidRPr="00AC1C68">
              <w:rPr>
                <w:sz w:val="24"/>
              </w:rPr>
              <w:t>,3% і сума заборгованості станом  на 01.12.2017 року становила 705,0 тис. грн. Сума боргу на економічно активних підприємствах у будівництві складала 513,1 тис.грн. (</w:t>
            </w:r>
            <w:r w:rsidRPr="00AC1C68">
              <w:rPr>
                <w:i/>
                <w:sz w:val="24"/>
              </w:rPr>
              <w:t>72,8% суми боргу даного виду діяльності)</w:t>
            </w:r>
            <w:r w:rsidRPr="00AC1C68">
              <w:rPr>
                <w:sz w:val="24"/>
              </w:rPr>
              <w:t xml:space="preserve"> і  в порівнянні з 01.01.2017 року збільшилась на 43,0%. На підприємствах-банкрутах сума боргу з </w:t>
            </w:r>
            <w:r w:rsidRPr="00AC1C68">
              <w:rPr>
                <w:sz w:val="24"/>
              </w:rPr>
              <w:lastRenderedPageBreak/>
              <w:t xml:space="preserve">оплати праці становила 191,9 тис.грн. </w:t>
            </w:r>
            <w:r w:rsidRPr="00AC1C68">
              <w:rPr>
                <w:i/>
                <w:sz w:val="24"/>
              </w:rPr>
              <w:t>(27,2% загальної суми боргу по галузі</w:t>
            </w:r>
            <w:r w:rsidRPr="00AC1C68">
              <w:rPr>
                <w:sz w:val="24"/>
              </w:rPr>
              <w:t>) та проти 01.01.2017 року зменшилась на 39,5%.</w:t>
            </w:r>
          </w:p>
          <w:p w:rsidR="006D1554" w:rsidRPr="00AC1C68" w:rsidRDefault="006D1554" w:rsidP="006D1554">
            <w:pPr>
              <w:pStyle w:val="310"/>
              <w:ind w:firstLine="709"/>
              <w:rPr>
                <w:sz w:val="24"/>
              </w:rPr>
            </w:pPr>
            <w:r w:rsidRPr="00AC1C68">
              <w:rPr>
                <w:sz w:val="24"/>
              </w:rPr>
              <w:t xml:space="preserve">Протягом листопада 2017 року на 5,4% збільшився залишок заборгованості, яка виникла в червні 2017 року, працівникам підприємств-банкрутів, що зайняті у сфері </w:t>
            </w:r>
            <w:r w:rsidRPr="00AC1C68">
              <w:rPr>
                <w:i/>
                <w:sz w:val="24"/>
              </w:rPr>
              <w:t xml:space="preserve">охорона здоров’я та надання соціальної допомоги, </w:t>
            </w:r>
            <w:r w:rsidRPr="00AC1C68">
              <w:rPr>
                <w:sz w:val="24"/>
              </w:rPr>
              <w:t>борг на звітну дату складав 396,3 тис.грн.</w:t>
            </w:r>
          </w:p>
          <w:p w:rsidR="006D1554" w:rsidRPr="00AC1C68" w:rsidRDefault="006D1554" w:rsidP="006D1554">
            <w:pPr>
              <w:pStyle w:val="310"/>
              <w:ind w:firstLine="709"/>
              <w:rPr>
                <w:sz w:val="24"/>
              </w:rPr>
            </w:pPr>
            <w:r w:rsidRPr="00AC1C68">
              <w:rPr>
                <w:sz w:val="24"/>
              </w:rPr>
              <w:t xml:space="preserve">Сума заборгованості на підприємствах, що здійснюють  </w:t>
            </w:r>
            <w:r w:rsidRPr="00AC1C68">
              <w:rPr>
                <w:i/>
                <w:sz w:val="24"/>
              </w:rPr>
              <w:t xml:space="preserve">операції з нерухомим майном  </w:t>
            </w:r>
            <w:r w:rsidRPr="00AC1C68">
              <w:rPr>
                <w:sz w:val="24"/>
              </w:rPr>
              <w:t>на звітну дату склала 171,2 тис.грн. (2,2 тис.грн. - борг економічно активних підприємств, 169,0 тис.грн. – підприємств-банкрутів), з початку поточного року борг скоротився  в 1,9 рази.</w:t>
            </w:r>
          </w:p>
          <w:p w:rsidR="006D1554" w:rsidRPr="00AC1C68" w:rsidRDefault="006D1554" w:rsidP="006D1554">
            <w:pPr>
              <w:pStyle w:val="310"/>
              <w:ind w:firstLine="709"/>
              <w:rPr>
                <w:i/>
                <w:sz w:val="24"/>
              </w:rPr>
            </w:pPr>
            <w:r w:rsidRPr="00AC1C68">
              <w:rPr>
                <w:sz w:val="24"/>
              </w:rPr>
              <w:t xml:space="preserve"> Залишок заборгованості підприємств та установ, що здійснюють діяльність у сфері </w:t>
            </w:r>
            <w:r w:rsidRPr="00AC1C68">
              <w:rPr>
                <w:i/>
                <w:sz w:val="24"/>
              </w:rPr>
              <w:t>інформація та телекомунікація</w:t>
            </w:r>
            <w:r w:rsidRPr="00AC1C68">
              <w:rPr>
                <w:sz w:val="24"/>
              </w:rPr>
              <w:t xml:space="preserve"> – 82,7 тис.грн. (борг економічно неактивних підприємств</w:t>
            </w:r>
            <w:r w:rsidRPr="00AC1C68">
              <w:rPr>
                <w:i/>
                <w:sz w:val="24"/>
              </w:rPr>
              <w:t xml:space="preserve">), </w:t>
            </w:r>
            <w:r w:rsidRPr="00AC1C68">
              <w:rPr>
                <w:sz w:val="24"/>
              </w:rPr>
              <w:t>з початку року не змінився.</w:t>
            </w:r>
          </w:p>
          <w:p w:rsidR="00BB3C49" w:rsidRPr="00AC1C68" w:rsidRDefault="006D1554" w:rsidP="006D1554">
            <w:pPr>
              <w:ind w:firstLine="346"/>
              <w:jc w:val="both"/>
            </w:pPr>
            <w:r w:rsidRPr="00AC1C68">
              <w:t xml:space="preserve">Станом на 01.12.2017 року заборгованість, економічно активних підприємств  </w:t>
            </w:r>
            <w:r w:rsidRPr="00AC1C68">
              <w:rPr>
                <w:i/>
              </w:rPr>
              <w:t>освіти</w:t>
            </w:r>
            <w:r w:rsidRPr="00AC1C68">
              <w:t xml:space="preserve"> склала 38,3 тис.грн. і в порівнянні з 01.01.2017  року зменшилась на 23,7%.</w:t>
            </w:r>
          </w:p>
          <w:p w:rsidR="00BB3C49" w:rsidRPr="00AC1C68" w:rsidRDefault="00BB3C49" w:rsidP="00BB3C49">
            <w:pPr>
              <w:ind w:firstLine="346"/>
              <w:jc w:val="both"/>
            </w:pPr>
          </w:p>
          <w:p w:rsidR="00BB3C49" w:rsidRPr="00AC1C68" w:rsidRDefault="00BB3C49" w:rsidP="00BB3C49">
            <w:pPr>
              <w:ind w:firstLine="346"/>
              <w:jc w:val="both"/>
              <w:rPr>
                <w:b/>
              </w:rPr>
            </w:pPr>
            <w:r w:rsidRPr="00AC1C68">
              <w:rPr>
                <w:b/>
              </w:rPr>
              <w:t>В розрізі адміністративно-територіальних одиниць ситуація наступна:</w:t>
            </w:r>
          </w:p>
          <w:p w:rsidR="00BB3C49" w:rsidRPr="00AC1C68" w:rsidRDefault="00BB3C49" w:rsidP="00BB3C49">
            <w:pPr>
              <w:ind w:firstLine="346"/>
              <w:jc w:val="both"/>
            </w:pPr>
            <w:r w:rsidRPr="00AC1C68">
              <w:t>Станом на 01.12.2017 року всю суму заборгованості із заробітної плати по області складають борги на підприємствах 9 районів: Барського, Вінницького, Жмеринського, Калинівського, Могилів-Подільського, Тростянецького, Тульчинського,  Чернівецького, Чечельницького  та  4 міст:  м.Вінниці, м.Жмеринки, м.Могилів-Подільського  і м.Ладижина.</w:t>
            </w:r>
          </w:p>
          <w:p w:rsidR="00BB3C49" w:rsidRPr="00AC1C68" w:rsidRDefault="00BB3C49" w:rsidP="00BB3C49">
            <w:pPr>
              <w:ind w:firstLine="346"/>
              <w:jc w:val="both"/>
            </w:pPr>
            <w:r w:rsidRPr="00AC1C68">
              <w:t>В порівнянні з даними на 01.11.2017 року скоротили заборгованість із заробітної плати у Калинівському районі на 1375,9 тис.грн або на 49,1%  (залишок 1425,8 тис.грн.),  Тростянецькому районі на 214,3 тис.грн або на 14,4%  (залишок 1275,5 тис.грн.) та у м.Вінниці  на 65,6 тис.грн. або на 2,3% (залишок 2732,5 тис.грн.).</w:t>
            </w:r>
          </w:p>
          <w:p w:rsidR="00BB3C49" w:rsidRPr="00AC1C68" w:rsidRDefault="00BB3C49" w:rsidP="00BB3C49">
            <w:pPr>
              <w:ind w:firstLine="346"/>
              <w:jc w:val="both"/>
            </w:pPr>
            <w:r w:rsidRPr="00AC1C68">
              <w:t>Протягом листопада 2017 року наростили борги із заробітної плати на підприємствах та установах  Могилів-Подільського району - на 231,3 тис.грн. або на 32% (борг становить 953,1 тис.грн.), Барського району на 7,9 тис.грн або на 3,5% (борг - 236,6 тис.грн.) та м.Жмеринка - на 10,0 тис.грн. або на 1,1% (борг -944,7 тис.грн.).</w:t>
            </w:r>
          </w:p>
          <w:p w:rsidR="00BB3C49" w:rsidRPr="00BB3C49" w:rsidRDefault="00BB3C49" w:rsidP="00BB3C49">
            <w:pPr>
              <w:ind w:firstLine="346"/>
              <w:jc w:val="both"/>
            </w:pPr>
            <w:r w:rsidRPr="00AC1C68">
              <w:t>В листопаді поточного року залишилась незмінною сума боргів у  Вінницькому (693,4 тис.грн.),  Жмеринському (520,5 тис.грн), Тульчинському (230,4 тис.грн.), Чернівецькому (95,4 тис.грн.) і  Чечельницькому (110,5 тис.грн.) районах  та у м.Могилів-Подільський (92,2 тис.грн.) і м.Ладижин (2873</w:t>
            </w:r>
            <w:r w:rsidRPr="00BB3C49">
              <w:t xml:space="preserve">,7 тис.грн.). </w:t>
            </w:r>
          </w:p>
          <w:p w:rsidR="00BB3C49" w:rsidRPr="00BB3C49" w:rsidRDefault="00BB3C49" w:rsidP="00BB3C49">
            <w:pPr>
              <w:ind w:firstLine="346"/>
              <w:jc w:val="both"/>
            </w:pPr>
            <w:r w:rsidRPr="00BB3C49">
              <w:t>Найбільша  частка у загальній сумі боргу із заробітної плати в цілому по області станом на 01.12.2017 року серед районів у: Калинівському – 11,7%   (1425,8 тис.грн.) і Тростянецькому - 10,5% (1275,5 тис.грн.) та у містах Вінниці – 22,4% (2732,5 тис.грн.) і Ладижині – 23,6% (2873,7 тис.грн.). Борг зазначених 4 адміністративних одиниць (8307,5 тис.грн.) становить 68,2% від суми боргу із заробітної плати в цілому по області.</w:t>
            </w:r>
          </w:p>
          <w:p w:rsidR="00BB3C49" w:rsidRPr="00BB3C49" w:rsidRDefault="00BB3C49" w:rsidP="00BB3C49">
            <w:pPr>
              <w:ind w:firstLine="346"/>
              <w:jc w:val="both"/>
            </w:pPr>
            <w:r w:rsidRPr="00BB3C49">
              <w:t>На економічно активних підприємствах  станом на 01.12.2017 року відсутні борги у 25 районах та у 3 містах: Козятин, Могилів-Подільський і Хмільник.</w:t>
            </w:r>
          </w:p>
          <w:p w:rsidR="009543EB" w:rsidRPr="001F2EF3" w:rsidRDefault="00BB3C49" w:rsidP="00BB3C49">
            <w:pPr>
              <w:pStyle w:val="310"/>
              <w:tabs>
                <w:tab w:val="left" w:pos="709"/>
              </w:tabs>
              <w:ind w:firstLine="346"/>
              <w:rPr>
                <w:sz w:val="24"/>
              </w:rPr>
            </w:pPr>
            <w:r w:rsidRPr="00BB3C49">
              <w:rPr>
                <w:sz w:val="24"/>
              </w:rPr>
              <w:t>На звітну дату допущено борг  у 2 районах, а саме: у Барському - 114,0 тис.грн.  (в порівнянні з даними на  01.11.2017 року не змінився) та Калинівському – 1425,8 тис.грн. ( протягом листопада 2017 року – зменшився на 1375,9 тис.грн. або на 49,1%), а також у 3 містах обласного значення:  м.Вінниця – 751,4 тис.грн. (до 01.11.2017 року зменшився на 86,0  тис.грн. або на 10,3%),  м.Жмеринка – 937,9 тис.грн. (до 01.11.2017 року збільшився  на 10,0 тис.грн. або на 1,1%)  та м.Ладижин - 913,1 тис.грн. (в порівнянні з даними на 01.11.2017 року не змінився)</w:t>
            </w:r>
          </w:p>
        </w:tc>
      </w:tr>
      <w:tr w:rsidR="009543EB" w:rsidRPr="00514059" w:rsidTr="00B300D6">
        <w:trPr>
          <w:trHeight w:val="100"/>
        </w:trPr>
        <w:tc>
          <w:tcPr>
            <w:tcW w:w="10236" w:type="dxa"/>
            <w:gridSpan w:val="2"/>
            <w:tcBorders>
              <w:left w:val="nil"/>
              <w:right w:val="nil"/>
            </w:tcBorders>
          </w:tcPr>
          <w:p w:rsidR="009543EB" w:rsidRPr="00514059" w:rsidRDefault="009543EB" w:rsidP="00916D05">
            <w:pPr>
              <w:spacing w:before="120" w:after="120"/>
              <w:jc w:val="center"/>
              <w:rPr>
                <w:highlight w:val="yellow"/>
              </w:rPr>
            </w:pPr>
            <w:r w:rsidRPr="001F2EF3">
              <w:rPr>
                <w:b/>
                <w:iCs/>
              </w:rPr>
              <w:lastRenderedPageBreak/>
              <w:t>РОЗРАХУНКИ ЗА ЕНЕРГОНОСІЇ</w:t>
            </w:r>
          </w:p>
        </w:tc>
      </w:tr>
      <w:tr w:rsidR="00C27AD6" w:rsidRPr="006E4EA0" w:rsidTr="00B300D6">
        <w:trPr>
          <w:trHeight w:val="100"/>
        </w:trPr>
        <w:tc>
          <w:tcPr>
            <w:tcW w:w="1418" w:type="dxa"/>
          </w:tcPr>
          <w:p w:rsidR="00C27AD6" w:rsidRPr="006E4EA0" w:rsidRDefault="00C27AD6" w:rsidP="00C27AD6">
            <w:pPr>
              <w:pStyle w:val="310"/>
              <w:snapToGrid w:val="0"/>
              <w:jc w:val="left"/>
              <w:rPr>
                <w:rFonts w:cs="Times New Roman"/>
                <w:b/>
                <w:i/>
                <w:sz w:val="24"/>
              </w:rPr>
            </w:pPr>
            <w:r w:rsidRPr="006E4EA0">
              <w:rPr>
                <w:rFonts w:cs="Times New Roman"/>
                <w:b/>
                <w:i/>
                <w:iCs/>
                <w:sz w:val="24"/>
              </w:rPr>
              <w:t xml:space="preserve">Розрахунки за </w:t>
            </w:r>
            <w:r w:rsidRPr="006E4EA0">
              <w:rPr>
                <w:rFonts w:cs="Times New Roman"/>
                <w:b/>
                <w:i/>
                <w:iCs/>
                <w:sz w:val="24"/>
              </w:rPr>
              <w:lastRenderedPageBreak/>
              <w:t>електро-енергію</w:t>
            </w:r>
          </w:p>
        </w:tc>
        <w:tc>
          <w:tcPr>
            <w:tcW w:w="8818" w:type="dxa"/>
          </w:tcPr>
          <w:p w:rsidR="006E4EA0" w:rsidRPr="006E4EA0" w:rsidRDefault="006E4EA0" w:rsidP="006E4EA0">
            <w:pPr>
              <w:tabs>
                <w:tab w:val="left" w:pos="498"/>
              </w:tabs>
              <w:snapToGrid w:val="0"/>
              <w:ind w:firstLine="346"/>
              <w:jc w:val="both"/>
            </w:pPr>
            <w:r w:rsidRPr="006E4EA0">
              <w:lastRenderedPageBreak/>
              <w:t xml:space="preserve">Рівень оплати за електроенергію споживачами області при нормативних втратах електроенергії за січень-листопад 2017 року склав 103,4%, за відповідний період 2016 року цей показник становив 102,1%. Заборгованість за електроенергію за </w:t>
            </w:r>
            <w:r w:rsidRPr="006E4EA0">
              <w:lastRenderedPageBreak/>
              <w:t>січень-листопад 2017 року збільшилась на 50,3 млн. грн або на 27,5% і станом на 1 листопада 2017 року з урахуванням боргів минулих років становить 232,8 млн. грн. При рівні оплати 100% і вище борг може зростати за рахунок того, що фактичні втрати в електромережах вищі за нормативні.</w:t>
            </w:r>
          </w:p>
          <w:p w:rsidR="006E4EA0" w:rsidRPr="006E4EA0" w:rsidRDefault="006E4EA0" w:rsidP="006E4EA0">
            <w:pPr>
              <w:tabs>
                <w:tab w:val="left" w:pos="498"/>
              </w:tabs>
              <w:snapToGrid w:val="0"/>
              <w:ind w:firstLine="346"/>
              <w:jc w:val="both"/>
            </w:pPr>
            <w:r w:rsidRPr="006E4EA0">
              <w:t>При цьому:</w:t>
            </w:r>
          </w:p>
          <w:p w:rsidR="006E4EA0" w:rsidRPr="006E4EA0" w:rsidRDefault="006E4EA0" w:rsidP="006E4EA0">
            <w:pPr>
              <w:pStyle w:val="af1"/>
              <w:numPr>
                <w:ilvl w:val="0"/>
                <w:numId w:val="16"/>
              </w:numPr>
              <w:tabs>
                <w:tab w:val="left" w:pos="498"/>
              </w:tabs>
              <w:snapToGrid w:val="0"/>
              <w:ind w:left="0" w:firstLine="346"/>
              <w:jc w:val="both"/>
            </w:pPr>
            <w:r w:rsidRPr="006E4EA0">
              <w:t>заборгованість установ, що фінансуються з державного бюджету з початку року збільшилась на 1,8 млн. грн (на 30,8%), борг становить 7,5 млн. грн;</w:t>
            </w:r>
          </w:p>
          <w:p w:rsidR="006E4EA0" w:rsidRPr="006E4EA0" w:rsidRDefault="006E4EA0" w:rsidP="006E4EA0">
            <w:pPr>
              <w:pStyle w:val="af1"/>
              <w:numPr>
                <w:ilvl w:val="0"/>
                <w:numId w:val="16"/>
              </w:numPr>
              <w:tabs>
                <w:tab w:val="left" w:pos="498"/>
              </w:tabs>
              <w:snapToGrid w:val="0"/>
              <w:ind w:left="0" w:firstLine="346"/>
              <w:jc w:val="both"/>
            </w:pPr>
            <w:r w:rsidRPr="006E4EA0">
              <w:t>заборгованість установ, що фінансуються з місцевого бюджету збільшилась з початку року на 0,6 млн. грн (в 4,3 рази), борг становить 0,7 млн. грн;</w:t>
            </w:r>
          </w:p>
          <w:p w:rsidR="006E4EA0" w:rsidRPr="006E4EA0" w:rsidRDefault="006E4EA0" w:rsidP="006E4EA0">
            <w:pPr>
              <w:pStyle w:val="af1"/>
              <w:numPr>
                <w:ilvl w:val="0"/>
                <w:numId w:val="16"/>
              </w:numPr>
              <w:tabs>
                <w:tab w:val="left" w:pos="498"/>
              </w:tabs>
              <w:snapToGrid w:val="0"/>
              <w:ind w:left="0" w:firstLine="346"/>
              <w:jc w:val="both"/>
            </w:pPr>
            <w:r w:rsidRPr="006E4EA0">
              <w:t>заборгованість бюджетів по субсидіях та пільгах населенню порівняно з початком року збільшилась на 18,8 млн. грн (на 38,0%), борг становить 68,2 млн. грн.</w:t>
            </w:r>
          </w:p>
          <w:p w:rsidR="00C27AD6" w:rsidRPr="006E4EA0" w:rsidRDefault="006E4EA0" w:rsidP="006E4EA0">
            <w:pPr>
              <w:tabs>
                <w:tab w:val="left" w:pos="498"/>
              </w:tabs>
              <w:snapToGrid w:val="0"/>
              <w:ind w:firstLine="346"/>
              <w:jc w:val="both"/>
              <w:rPr>
                <w:b/>
              </w:rPr>
            </w:pPr>
            <w:r w:rsidRPr="006E4EA0">
              <w:t>Рівень оплати за січень-листопад 2017 року при нормативних втратах нижче 100% склався лише в Жмеринському районі (88,1%). Найвищий рівень оплати в наступних районах: Погребищенському (109,6%), Бершадському (109,4%)  та Мурованокуриловецькому (107,1%).</w:t>
            </w:r>
          </w:p>
        </w:tc>
      </w:tr>
      <w:tr w:rsidR="009543EB" w:rsidRPr="006E4EA0" w:rsidTr="00D0708B">
        <w:trPr>
          <w:trHeight w:val="707"/>
        </w:trPr>
        <w:tc>
          <w:tcPr>
            <w:tcW w:w="1418" w:type="dxa"/>
          </w:tcPr>
          <w:p w:rsidR="009543EB" w:rsidRPr="006E4EA0" w:rsidRDefault="009543EB" w:rsidP="00B6710E">
            <w:pPr>
              <w:pStyle w:val="22"/>
              <w:snapToGrid w:val="0"/>
              <w:ind w:firstLine="0"/>
              <w:jc w:val="left"/>
              <w:rPr>
                <w:b/>
                <w:i/>
                <w:iCs/>
                <w:sz w:val="24"/>
              </w:rPr>
            </w:pPr>
            <w:r w:rsidRPr="006E4EA0">
              <w:rPr>
                <w:b/>
                <w:i/>
                <w:iCs/>
                <w:sz w:val="24"/>
              </w:rPr>
              <w:lastRenderedPageBreak/>
              <w:t>Розрахунки за природний газ</w:t>
            </w:r>
          </w:p>
        </w:tc>
        <w:tc>
          <w:tcPr>
            <w:tcW w:w="8818" w:type="dxa"/>
            <w:shd w:val="clear" w:color="auto" w:fill="FFFFFF"/>
          </w:tcPr>
          <w:p w:rsidR="009543EB" w:rsidRPr="006E4EA0" w:rsidRDefault="006E4EA0" w:rsidP="002D1625">
            <w:pPr>
              <w:suppressAutoHyphens/>
              <w:ind w:firstLine="317"/>
              <w:jc w:val="both"/>
              <w:rPr>
                <w:b/>
                <w:bCs/>
              </w:rPr>
            </w:pPr>
            <w:r w:rsidRPr="006E4EA0">
              <w:rPr>
                <w:bCs/>
                <w:iCs/>
              </w:rPr>
              <w:t>Рівень оплати за природний газ населенням та бюджетними установами області за січень-листопад 2017 року перед ПАТ «Вінницягаз збут» склав 44,5% за відповідний період 2016 року цей показник становив 45,9%. Загальна заборгованість вказаних категорій споживачів, з урахуванням боргів минулих періодів, становить 1 566,7 млн. грн в тому числі: перед ПАТ «Вінницягаз» (з липня 2015 року не реалізовує природний газ) - 52,7 млн. грн та перед ТОВ «Вінницягаз збут» (створеним в липні 2015 року) 1 514,0 млн. грн. Таким чином, в порівнянні з відповідним періодом минулого року загальна заборгованість бюджетних установ та населення зросла на 64,5%.</w:t>
            </w:r>
          </w:p>
        </w:tc>
      </w:tr>
      <w:tr w:rsidR="009543EB" w:rsidRPr="006E4EA0" w:rsidTr="00B300D6">
        <w:trPr>
          <w:trHeight w:val="100"/>
        </w:trPr>
        <w:tc>
          <w:tcPr>
            <w:tcW w:w="1418" w:type="dxa"/>
          </w:tcPr>
          <w:p w:rsidR="009543EB" w:rsidRPr="006E4EA0" w:rsidRDefault="009543EB" w:rsidP="002D1625">
            <w:pPr>
              <w:pStyle w:val="22"/>
              <w:snapToGrid w:val="0"/>
              <w:ind w:firstLine="0"/>
              <w:jc w:val="left"/>
              <w:rPr>
                <w:b/>
                <w:i/>
                <w:iCs/>
                <w:sz w:val="24"/>
              </w:rPr>
            </w:pPr>
            <w:r w:rsidRPr="006E4EA0">
              <w:rPr>
                <w:b/>
                <w:i/>
                <w:iCs/>
                <w:sz w:val="24"/>
              </w:rPr>
              <w:t>Розрахунки за житлово-комунальні послуги</w:t>
            </w:r>
          </w:p>
        </w:tc>
        <w:tc>
          <w:tcPr>
            <w:tcW w:w="8818" w:type="dxa"/>
          </w:tcPr>
          <w:p w:rsidR="006E4EA0" w:rsidRPr="006E4EA0" w:rsidRDefault="006E4EA0" w:rsidP="006E4EA0">
            <w:pPr>
              <w:suppressAutoHyphens/>
              <w:ind w:firstLine="346"/>
              <w:jc w:val="both"/>
            </w:pPr>
            <w:r w:rsidRPr="006E4EA0">
              <w:t>Рівень оплати за житлово-комунальні послуги населенням області за січень-листопад 2017 року становить 89,5%, за відповідний період минулого року рівень оплати становив 121,7%. Заборгованість за житлово-комунальні послуги складає 175,7 млн. грн.</w:t>
            </w:r>
          </w:p>
          <w:p w:rsidR="006E4EA0" w:rsidRPr="006E4EA0" w:rsidRDefault="006E4EA0" w:rsidP="006E4EA0">
            <w:pPr>
              <w:suppressAutoHyphens/>
              <w:ind w:firstLine="346"/>
              <w:jc w:val="both"/>
            </w:pPr>
            <w:r w:rsidRPr="006E4EA0">
              <w:t xml:space="preserve">  Рівень оплати нижче 100% за житлово-комунальні послуги станом на 01.11.2017  року склався у 19 районах та м. Козятин, м. Хмільник, м. Вінниця.</w:t>
            </w:r>
          </w:p>
          <w:p w:rsidR="009543EB" w:rsidRPr="006E4EA0" w:rsidRDefault="006E4EA0" w:rsidP="006E4EA0">
            <w:pPr>
              <w:suppressAutoHyphens/>
              <w:ind w:firstLine="346"/>
              <w:jc w:val="both"/>
            </w:pPr>
            <w:r w:rsidRPr="006E4EA0">
              <w:t>При цьому серед районів та міст обласного значення найнижчий рівень оплати спостерігається в: Теплицькому (33,3%),  Бершадському (41,0%) та   Хмільницькому (46,2%) районах</w:t>
            </w:r>
            <w:r w:rsidR="00B6710E" w:rsidRPr="006E4EA0">
              <w:rPr>
                <w:lang w:val="ru-RU"/>
              </w:rPr>
              <w:t>.</w:t>
            </w:r>
          </w:p>
        </w:tc>
      </w:tr>
      <w:tr w:rsidR="009543EB" w:rsidRPr="00BB3C49" w:rsidTr="00B300D6">
        <w:trPr>
          <w:trHeight w:val="100"/>
        </w:trPr>
        <w:tc>
          <w:tcPr>
            <w:tcW w:w="1418" w:type="dxa"/>
          </w:tcPr>
          <w:p w:rsidR="009543EB" w:rsidRPr="006E4EA0" w:rsidRDefault="009543EB" w:rsidP="002D1625">
            <w:pPr>
              <w:pStyle w:val="22"/>
              <w:snapToGrid w:val="0"/>
              <w:ind w:firstLine="0"/>
              <w:rPr>
                <w:b/>
                <w:i/>
                <w:iCs/>
                <w:sz w:val="24"/>
              </w:rPr>
            </w:pPr>
            <w:r w:rsidRPr="006E4EA0">
              <w:rPr>
                <w:b/>
                <w:i/>
                <w:iCs/>
                <w:sz w:val="24"/>
              </w:rPr>
              <w:t>Цінові процеси на споживчому ринку області</w:t>
            </w:r>
          </w:p>
        </w:tc>
        <w:tc>
          <w:tcPr>
            <w:tcW w:w="8818" w:type="dxa"/>
          </w:tcPr>
          <w:p w:rsidR="006E4EA0" w:rsidRPr="006E4EA0" w:rsidRDefault="006E4EA0" w:rsidP="006E4EA0">
            <w:pPr>
              <w:suppressAutoHyphens/>
              <w:ind w:firstLine="346"/>
              <w:jc w:val="both"/>
            </w:pPr>
            <w:r w:rsidRPr="006E4EA0">
              <w:t xml:space="preserve">За даними моніторингу цін, який надається Державною службою статистики України роздрібні ціни на більшість соціально значущих товарів станом на 1 грудня 2017 року в місті Вінниця є нижчими, ніж в середньому по обласних центрах України. </w:t>
            </w:r>
          </w:p>
          <w:p w:rsidR="006E4EA0" w:rsidRPr="006E4EA0" w:rsidRDefault="006E4EA0" w:rsidP="006E4EA0">
            <w:pPr>
              <w:suppressAutoHyphens/>
              <w:ind w:firstLine="346"/>
              <w:jc w:val="both"/>
            </w:pPr>
            <w:r w:rsidRPr="006E4EA0">
              <w:t>Так, із 25 товарів середні роздрібні ціни в області по 22 найменуваннях є меншими, ніж середні по обласних центрах України.</w:t>
            </w:r>
          </w:p>
          <w:p w:rsidR="006E4EA0" w:rsidRPr="006E4EA0" w:rsidRDefault="006E4EA0" w:rsidP="006E4EA0">
            <w:pPr>
              <w:suppressAutoHyphens/>
              <w:ind w:firstLine="346"/>
              <w:jc w:val="both"/>
            </w:pPr>
            <w:r w:rsidRPr="006E4EA0">
              <w:t>По таких продуктах харчування як сало, сир м’який жирністю 9% та яловичина середні роздрібні ціни в м. Вінниці є значно нижчими, ніж в середньому по обласних центрах України: на 11,28 грн/кг, 5,57 грн/кг, та 5,39 грн/кг відповідно. Ціна вища лише на птицю (тушки курячі) – 1,10 грн/кг, рис на 0,21 грн/кг та цукор на 0,05 грн/кг.</w:t>
            </w:r>
          </w:p>
          <w:p w:rsidR="006C79FD" w:rsidRPr="006E4EA0" w:rsidRDefault="006E4EA0" w:rsidP="006E4EA0">
            <w:pPr>
              <w:ind w:firstLine="346"/>
              <w:jc w:val="both"/>
            </w:pPr>
            <w:r w:rsidRPr="006E4EA0">
              <w:t>Реальна цінова ситуація характеризується індексом споживчих цін, який по Вінницькій області у листопаді 2017 року по відношенню до грудня 2016 року становив 111,5%, по Україні – 112,5%. Серед регіонів України по показнику «Індекс споживчих цін» за листопад 2017 року до грудня 2016 року  Вінницька область зайняла 2 місце в рейтингу</w:t>
            </w:r>
          </w:p>
        </w:tc>
      </w:tr>
      <w:tr w:rsidR="009543EB" w:rsidRPr="00514059" w:rsidTr="00B300D6">
        <w:trPr>
          <w:trHeight w:val="100"/>
        </w:trPr>
        <w:tc>
          <w:tcPr>
            <w:tcW w:w="10236" w:type="dxa"/>
            <w:gridSpan w:val="2"/>
            <w:tcBorders>
              <w:left w:val="nil"/>
              <w:right w:val="nil"/>
            </w:tcBorders>
          </w:tcPr>
          <w:p w:rsidR="009543EB" w:rsidRPr="00514059" w:rsidRDefault="009543EB" w:rsidP="006E4EA0">
            <w:pPr>
              <w:spacing w:before="120" w:after="120"/>
              <w:jc w:val="center"/>
              <w:rPr>
                <w:b/>
                <w:i/>
                <w:highlight w:val="yellow"/>
              </w:rPr>
            </w:pPr>
            <w:r w:rsidRPr="003A2B59">
              <w:rPr>
                <w:b/>
              </w:rPr>
              <w:t>ТОРГІВЛЯ ТА СФЕРА ПОСЛУГ</w:t>
            </w:r>
          </w:p>
        </w:tc>
      </w:tr>
      <w:tr w:rsidR="009543EB" w:rsidRPr="00514059" w:rsidTr="00B300D6">
        <w:trPr>
          <w:trHeight w:val="100"/>
        </w:trPr>
        <w:tc>
          <w:tcPr>
            <w:tcW w:w="1418" w:type="dxa"/>
          </w:tcPr>
          <w:p w:rsidR="009543EB" w:rsidRPr="00514059" w:rsidRDefault="009543EB" w:rsidP="002D1625">
            <w:pPr>
              <w:jc w:val="both"/>
              <w:rPr>
                <w:b/>
                <w:i/>
                <w:iCs/>
                <w:highlight w:val="yellow"/>
              </w:rPr>
            </w:pPr>
            <w:r w:rsidRPr="003A2B59">
              <w:rPr>
                <w:b/>
                <w:i/>
                <w:iCs/>
              </w:rPr>
              <w:t>Товарооборот області</w:t>
            </w:r>
          </w:p>
        </w:tc>
        <w:tc>
          <w:tcPr>
            <w:tcW w:w="8818" w:type="dxa"/>
          </w:tcPr>
          <w:p w:rsidR="00BB3C49" w:rsidRDefault="00BB3C49" w:rsidP="00BB3C49">
            <w:pPr>
              <w:tabs>
                <w:tab w:val="left" w:pos="540"/>
              </w:tabs>
              <w:ind w:firstLine="318"/>
              <w:jc w:val="both"/>
            </w:pPr>
            <w:r>
              <w:t xml:space="preserve">За даними Головного управління статистики у Вінницькій області оборот  роздрібної торгівлі області за січень – листопад 2017 року склав – 18,7 млрд. грн.,  </w:t>
            </w:r>
            <w:r>
              <w:lastRenderedPageBreak/>
              <w:t>що більше в порівняних цінах до відповідного періоду минулого року на 11,8%  (по Україні  збільшився  на 8,0%).</w:t>
            </w:r>
          </w:p>
          <w:p w:rsidR="00BB3C49" w:rsidRDefault="00BB3C49" w:rsidP="00BB3C49">
            <w:pPr>
              <w:tabs>
                <w:tab w:val="left" w:pos="540"/>
              </w:tabs>
              <w:ind w:firstLine="318"/>
              <w:jc w:val="both"/>
            </w:pPr>
            <w:r>
              <w:t>За темпами зростання обороту роздрібної торгівлі за січень-</w:t>
            </w:r>
            <w:r w:rsidR="008C1BB3">
              <w:t>листопад</w:t>
            </w:r>
            <w:r>
              <w:t xml:space="preserve"> поточного року область займає 4 місце серед  регіонів України.</w:t>
            </w:r>
          </w:p>
          <w:p w:rsidR="009543EB" w:rsidRPr="00BB3C49" w:rsidRDefault="00BB3C49" w:rsidP="00BB3C49">
            <w:pPr>
              <w:tabs>
                <w:tab w:val="left" w:pos="540"/>
              </w:tabs>
              <w:ind w:firstLine="318"/>
              <w:jc w:val="both"/>
              <w:rPr>
                <w:highlight w:val="yellow"/>
                <w:lang w:val="ru-RU"/>
              </w:rPr>
            </w:pPr>
            <w:r>
              <w:t>Обсяг послуг, реалізованих споживачам підприємствами сфери послуг Вінницької області за січень – вересень 2017 року становить 6,19 млрд. грн., в тому числі обсяг послуг, реалізованих населенню – 2,4 млрд. грн., що становить – 38,7%                     від загального обсягу послуг</w:t>
            </w:r>
            <w:r>
              <w:rPr>
                <w:lang w:val="ru-RU"/>
              </w:rPr>
              <w:t>.</w:t>
            </w:r>
          </w:p>
        </w:tc>
      </w:tr>
    </w:tbl>
    <w:p w:rsidR="009543EB" w:rsidRPr="00514059" w:rsidRDefault="009543EB" w:rsidP="002D1625">
      <w:pPr>
        <w:jc w:val="right"/>
        <w:rPr>
          <w:b/>
          <w:i/>
          <w:highlight w:val="yellow"/>
          <w:u w:val="single"/>
        </w:rPr>
      </w:pPr>
    </w:p>
    <w:p w:rsidR="009543EB" w:rsidRPr="001F2EF3" w:rsidRDefault="009543EB" w:rsidP="002D1625">
      <w:pPr>
        <w:jc w:val="right"/>
        <w:rPr>
          <w:b/>
          <w:i/>
          <w:u w:val="single"/>
        </w:rPr>
      </w:pPr>
      <w:r w:rsidRPr="001F2EF3">
        <w:rPr>
          <w:b/>
          <w:i/>
          <w:u w:val="single"/>
        </w:rPr>
        <w:t>За даними та методикою розрахунків</w:t>
      </w:r>
    </w:p>
    <w:p w:rsidR="009543EB" w:rsidRPr="001F2EF3" w:rsidRDefault="009543EB" w:rsidP="002D1625">
      <w:pPr>
        <w:jc w:val="right"/>
        <w:rPr>
          <w:b/>
          <w:i/>
          <w:u w:val="single"/>
        </w:rPr>
      </w:pPr>
      <w:r w:rsidRPr="001F2EF3">
        <w:rPr>
          <w:b/>
          <w:i/>
          <w:u w:val="single"/>
        </w:rPr>
        <w:t>Головного управління статистики у Вінницькій області</w:t>
      </w:r>
    </w:p>
    <w:p w:rsidR="009543EB" w:rsidRPr="001F2EF3" w:rsidRDefault="009543EB" w:rsidP="002D1625">
      <w:pPr>
        <w:jc w:val="right"/>
        <w:rPr>
          <w:b/>
          <w:i/>
          <w:u w:val="single"/>
        </w:rPr>
      </w:pPr>
      <w:r w:rsidRPr="001F2EF3">
        <w:rPr>
          <w:b/>
          <w:i/>
          <w:u w:val="single"/>
        </w:rPr>
        <w:t xml:space="preserve">Питання, які відносяться до компетенції </w:t>
      </w:r>
    </w:p>
    <w:p w:rsidR="009543EB" w:rsidRPr="00EC7E32" w:rsidRDefault="009543EB" w:rsidP="002D1625">
      <w:pPr>
        <w:jc w:val="right"/>
        <w:rPr>
          <w:b/>
          <w:i/>
          <w:u w:val="single"/>
        </w:rPr>
      </w:pPr>
      <w:r w:rsidRPr="001F2EF3">
        <w:rPr>
          <w:b/>
          <w:i/>
          <w:u w:val="single"/>
        </w:rPr>
        <w:t>Департаменту міжнародного співробітництва та регіонального розвитку ОДА</w:t>
      </w:r>
    </w:p>
    <w:p w:rsidR="009543EB" w:rsidRPr="00EC7E32" w:rsidRDefault="009543EB" w:rsidP="002D1625">
      <w:pPr>
        <w:jc w:val="both"/>
      </w:pP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C1" w:rsidRDefault="006828C1">
      <w:r>
        <w:separator/>
      </w:r>
    </w:p>
  </w:endnote>
  <w:endnote w:type="continuationSeparator" w:id="0">
    <w:p w:rsidR="006828C1" w:rsidRDefault="0068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C1" w:rsidRDefault="0020400B" w:rsidP="00514EB7">
    <w:pPr>
      <w:pStyle w:val="ab"/>
      <w:framePr w:wrap="around" w:vAnchor="text" w:hAnchor="margin" w:xAlign="outside" w:y="1"/>
      <w:rPr>
        <w:rStyle w:val="ad"/>
      </w:rPr>
    </w:pPr>
    <w:r>
      <w:rPr>
        <w:rStyle w:val="ad"/>
      </w:rPr>
      <w:fldChar w:fldCharType="begin"/>
    </w:r>
    <w:r w:rsidR="006828C1">
      <w:rPr>
        <w:rStyle w:val="ad"/>
      </w:rPr>
      <w:instrText xml:space="preserve">PAGE  </w:instrText>
    </w:r>
    <w:r>
      <w:rPr>
        <w:rStyle w:val="ad"/>
      </w:rPr>
      <w:fldChar w:fldCharType="end"/>
    </w:r>
  </w:p>
  <w:p w:rsidR="006828C1" w:rsidRDefault="006828C1" w:rsidP="00514EB7">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C1" w:rsidRPr="00BC3FBD" w:rsidRDefault="0020400B" w:rsidP="00514EB7">
    <w:pPr>
      <w:pStyle w:val="ab"/>
      <w:framePr w:wrap="around" w:vAnchor="text" w:hAnchor="margin" w:xAlign="outside" w:y="1"/>
      <w:rPr>
        <w:rStyle w:val="ad"/>
        <w:sz w:val="18"/>
        <w:szCs w:val="18"/>
      </w:rPr>
    </w:pPr>
    <w:r w:rsidRPr="00BC3FBD">
      <w:rPr>
        <w:rStyle w:val="ad"/>
        <w:sz w:val="18"/>
        <w:szCs w:val="18"/>
      </w:rPr>
      <w:fldChar w:fldCharType="begin"/>
    </w:r>
    <w:r w:rsidR="006828C1" w:rsidRPr="00BC3FBD">
      <w:rPr>
        <w:rStyle w:val="ad"/>
        <w:sz w:val="18"/>
        <w:szCs w:val="18"/>
      </w:rPr>
      <w:instrText xml:space="preserve">PAGE  </w:instrText>
    </w:r>
    <w:r w:rsidRPr="00BC3FBD">
      <w:rPr>
        <w:rStyle w:val="ad"/>
        <w:sz w:val="18"/>
        <w:szCs w:val="18"/>
      </w:rPr>
      <w:fldChar w:fldCharType="separate"/>
    </w:r>
    <w:r w:rsidR="005B7BBA">
      <w:rPr>
        <w:rStyle w:val="ad"/>
        <w:noProof/>
        <w:sz w:val="18"/>
        <w:szCs w:val="18"/>
      </w:rPr>
      <w:t>1</w:t>
    </w:r>
    <w:r w:rsidRPr="00BC3FBD">
      <w:rPr>
        <w:rStyle w:val="ad"/>
        <w:sz w:val="18"/>
        <w:szCs w:val="18"/>
      </w:rPr>
      <w:fldChar w:fldCharType="end"/>
    </w:r>
  </w:p>
  <w:p w:rsidR="006828C1" w:rsidRDefault="006828C1" w:rsidP="00514EB7">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C1" w:rsidRDefault="006828C1">
      <w:r>
        <w:separator/>
      </w:r>
    </w:p>
  </w:footnote>
  <w:footnote w:type="continuationSeparator" w:id="0">
    <w:p w:rsidR="006828C1" w:rsidRDefault="0068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15:restartNumberingAfterBreak="0">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15:restartNumberingAfterBreak="0">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3" w15:restartNumberingAfterBreak="0">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15:restartNumberingAfterBreak="0">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14"/>
    <w:rsid w:val="00003839"/>
    <w:rsid w:val="00015F6D"/>
    <w:rsid w:val="00016DB0"/>
    <w:rsid w:val="000230FE"/>
    <w:rsid w:val="00024DA1"/>
    <w:rsid w:val="00026184"/>
    <w:rsid w:val="00030710"/>
    <w:rsid w:val="00035BF1"/>
    <w:rsid w:val="000418C4"/>
    <w:rsid w:val="000440B5"/>
    <w:rsid w:val="0004617E"/>
    <w:rsid w:val="00046B4E"/>
    <w:rsid w:val="00047C80"/>
    <w:rsid w:val="00047DE4"/>
    <w:rsid w:val="00053244"/>
    <w:rsid w:val="000619AE"/>
    <w:rsid w:val="00064BF1"/>
    <w:rsid w:val="00065602"/>
    <w:rsid w:val="00065F7C"/>
    <w:rsid w:val="000678D9"/>
    <w:rsid w:val="000752AE"/>
    <w:rsid w:val="00076772"/>
    <w:rsid w:val="00076CAE"/>
    <w:rsid w:val="00076DA0"/>
    <w:rsid w:val="00080E9D"/>
    <w:rsid w:val="0008670C"/>
    <w:rsid w:val="00091F43"/>
    <w:rsid w:val="0009236E"/>
    <w:rsid w:val="00092B8F"/>
    <w:rsid w:val="00096EFD"/>
    <w:rsid w:val="000A4219"/>
    <w:rsid w:val="000A7D9C"/>
    <w:rsid w:val="000B348E"/>
    <w:rsid w:val="000B4E8F"/>
    <w:rsid w:val="000C7D70"/>
    <w:rsid w:val="000D157F"/>
    <w:rsid w:val="000D4ABB"/>
    <w:rsid w:val="000D4FD7"/>
    <w:rsid w:val="000D5EB6"/>
    <w:rsid w:val="000D6B14"/>
    <w:rsid w:val="000E4AA5"/>
    <w:rsid w:val="000E4C6C"/>
    <w:rsid w:val="000E67C4"/>
    <w:rsid w:val="000F2271"/>
    <w:rsid w:val="000F3652"/>
    <w:rsid w:val="000F43C7"/>
    <w:rsid w:val="000F561A"/>
    <w:rsid w:val="00100E8C"/>
    <w:rsid w:val="0010583F"/>
    <w:rsid w:val="00107839"/>
    <w:rsid w:val="00112387"/>
    <w:rsid w:val="0011544E"/>
    <w:rsid w:val="0011759E"/>
    <w:rsid w:val="00117E62"/>
    <w:rsid w:val="001201E5"/>
    <w:rsid w:val="001213AC"/>
    <w:rsid w:val="00123A2D"/>
    <w:rsid w:val="00124940"/>
    <w:rsid w:val="0012605F"/>
    <w:rsid w:val="00126B1B"/>
    <w:rsid w:val="00127BD5"/>
    <w:rsid w:val="00130028"/>
    <w:rsid w:val="00130B10"/>
    <w:rsid w:val="00131A2C"/>
    <w:rsid w:val="00134FBD"/>
    <w:rsid w:val="00142E77"/>
    <w:rsid w:val="00144DF0"/>
    <w:rsid w:val="00157DC8"/>
    <w:rsid w:val="00163E7D"/>
    <w:rsid w:val="00173184"/>
    <w:rsid w:val="001744ED"/>
    <w:rsid w:val="001803B2"/>
    <w:rsid w:val="00193891"/>
    <w:rsid w:val="00196D63"/>
    <w:rsid w:val="001A41C9"/>
    <w:rsid w:val="001A6BB3"/>
    <w:rsid w:val="001B6941"/>
    <w:rsid w:val="001B6C93"/>
    <w:rsid w:val="001C3A53"/>
    <w:rsid w:val="001C7DB1"/>
    <w:rsid w:val="001D0F4E"/>
    <w:rsid w:val="001D6092"/>
    <w:rsid w:val="001D7A48"/>
    <w:rsid w:val="001E41A3"/>
    <w:rsid w:val="001F2EF3"/>
    <w:rsid w:val="001F39E9"/>
    <w:rsid w:val="001F70C6"/>
    <w:rsid w:val="002017A9"/>
    <w:rsid w:val="0020400B"/>
    <w:rsid w:val="00205E27"/>
    <w:rsid w:val="00211421"/>
    <w:rsid w:val="00216105"/>
    <w:rsid w:val="00224208"/>
    <w:rsid w:val="00226673"/>
    <w:rsid w:val="0023304E"/>
    <w:rsid w:val="00235840"/>
    <w:rsid w:val="00245596"/>
    <w:rsid w:val="00245D2C"/>
    <w:rsid w:val="00251789"/>
    <w:rsid w:val="0025254A"/>
    <w:rsid w:val="00266925"/>
    <w:rsid w:val="00271507"/>
    <w:rsid w:val="002763CA"/>
    <w:rsid w:val="002878E4"/>
    <w:rsid w:val="00296A71"/>
    <w:rsid w:val="002A76CA"/>
    <w:rsid w:val="002B3C50"/>
    <w:rsid w:val="002B5E3B"/>
    <w:rsid w:val="002D1625"/>
    <w:rsid w:val="002D1A6E"/>
    <w:rsid w:val="002D4E2E"/>
    <w:rsid w:val="002D4FA1"/>
    <w:rsid w:val="002D535F"/>
    <w:rsid w:val="002D678F"/>
    <w:rsid w:val="002D6D35"/>
    <w:rsid w:val="002E5E7C"/>
    <w:rsid w:val="002F1985"/>
    <w:rsid w:val="002F69BA"/>
    <w:rsid w:val="00306A91"/>
    <w:rsid w:val="00306AAB"/>
    <w:rsid w:val="00307674"/>
    <w:rsid w:val="003107A9"/>
    <w:rsid w:val="0031183B"/>
    <w:rsid w:val="00313E88"/>
    <w:rsid w:val="003151AB"/>
    <w:rsid w:val="003153E8"/>
    <w:rsid w:val="0031560C"/>
    <w:rsid w:val="00315FE1"/>
    <w:rsid w:val="003222C4"/>
    <w:rsid w:val="00324128"/>
    <w:rsid w:val="00324201"/>
    <w:rsid w:val="00325670"/>
    <w:rsid w:val="003276ED"/>
    <w:rsid w:val="003344C6"/>
    <w:rsid w:val="003366AD"/>
    <w:rsid w:val="00346B2F"/>
    <w:rsid w:val="0034754D"/>
    <w:rsid w:val="00350D60"/>
    <w:rsid w:val="00356AC1"/>
    <w:rsid w:val="00363C38"/>
    <w:rsid w:val="00365A4E"/>
    <w:rsid w:val="00370204"/>
    <w:rsid w:val="00370E54"/>
    <w:rsid w:val="0037381B"/>
    <w:rsid w:val="003768DF"/>
    <w:rsid w:val="00381C8E"/>
    <w:rsid w:val="003843F3"/>
    <w:rsid w:val="0039164D"/>
    <w:rsid w:val="0039699C"/>
    <w:rsid w:val="003A2B59"/>
    <w:rsid w:val="003A3375"/>
    <w:rsid w:val="003B66EF"/>
    <w:rsid w:val="003C0959"/>
    <w:rsid w:val="003C3A13"/>
    <w:rsid w:val="003E1909"/>
    <w:rsid w:val="003E3B58"/>
    <w:rsid w:val="003F034C"/>
    <w:rsid w:val="003F22A2"/>
    <w:rsid w:val="00400179"/>
    <w:rsid w:val="004034CE"/>
    <w:rsid w:val="004040FB"/>
    <w:rsid w:val="00407CD9"/>
    <w:rsid w:val="00412264"/>
    <w:rsid w:val="004139DD"/>
    <w:rsid w:val="00417457"/>
    <w:rsid w:val="00434B03"/>
    <w:rsid w:val="00435882"/>
    <w:rsid w:val="0043758B"/>
    <w:rsid w:val="004442A5"/>
    <w:rsid w:val="0045743E"/>
    <w:rsid w:val="00457E16"/>
    <w:rsid w:val="00460E15"/>
    <w:rsid w:val="00462B00"/>
    <w:rsid w:val="004635C6"/>
    <w:rsid w:val="004647EC"/>
    <w:rsid w:val="004650B6"/>
    <w:rsid w:val="00470433"/>
    <w:rsid w:val="00470D52"/>
    <w:rsid w:val="00471D3B"/>
    <w:rsid w:val="004721D9"/>
    <w:rsid w:val="004723F1"/>
    <w:rsid w:val="00475D33"/>
    <w:rsid w:val="00475F9F"/>
    <w:rsid w:val="00480A7B"/>
    <w:rsid w:val="004838FA"/>
    <w:rsid w:val="00484CC7"/>
    <w:rsid w:val="00492D45"/>
    <w:rsid w:val="00493181"/>
    <w:rsid w:val="00494ADB"/>
    <w:rsid w:val="004963FE"/>
    <w:rsid w:val="004A24FE"/>
    <w:rsid w:val="004A2E53"/>
    <w:rsid w:val="004A4473"/>
    <w:rsid w:val="004A5BE2"/>
    <w:rsid w:val="004A5BE5"/>
    <w:rsid w:val="004A7651"/>
    <w:rsid w:val="004B12B1"/>
    <w:rsid w:val="004B3995"/>
    <w:rsid w:val="004B514D"/>
    <w:rsid w:val="004C327A"/>
    <w:rsid w:val="004D5B83"/>
    <w:rsid w:val="004D79E2"/>
    <w:rsid w:val="004E0DFD"/>
    <w:rsid w:val="004E192C"/>
    <w:rsid w:val="004E3332"/>
    <w:rsid w:val="004E7F61"/>
    <w:rsid w:val="004F4474"/>
    <w:rsid w:val="004F4CA6"/>
    <w:rsid w:val="004F5FAD"/>
    <w:rsid w:val="004F61DB"/>
    <w:rsid w:val="004F7E51"/>
    <w:rsid w:val="0050083B"/>
    <w:rsid w:val="005027C1"/>
    <w:rsid w:val="00504563"/>
    <w:rsid w:val="00504740"/>
    <w:rsid w:val="00510D47"/>
    <w:rsid w:val="005127DF"/>
    <w:rsid w:val="005132EF"/>
    <w:rsid w:val="00514059"/>
    <w:rsid w:val="00514438"/>
    <w:rsid w:val="00514EB7"/>
    <w:rsid w:val="00521637"/>
    <w:rsid w:val="00523A03"/>
    <w:rsid w:val="00531027"/>
    <w:rsid w:val="00532552"/>
    <w:rsid w:val="0053270D"/>
    <w:rsid w:val="005434E8"/>
    <w:rsid w:val="005507D4"/>
    <w:rsid w:val="005513E3"/>
    <w:rsid w:val="00573F8E"/>
    <w:rsid w:val="00574E6A"/>
    <w:rsid w:val="00576EC2"/>
    <w:rsid w:val="005802DD"/>
    <w:rsid w:val="0058153E"/>
    <w:rsid w:val="005835EB"/>
    <w:rsid w:val="00584BB2"/>
    <w:rsid w:val="005863FF"/>
    <w:rsid w:val="005912C2"/>
    <w:rsid w:val="00593F00"/>
    <w:rsid w:val="00596998"/>
    <w:rsid w:val="005A2E30"/>
    <w:rsid w:val="005A4292"/>
    <w:rsid w:val="005B175B"/>
    <w:rsid w:val="005B1E7E"/>
    <w:rsid w:val="005B7BBA"/>
    <w:rsid w:val="005C6431"/>
    <w:rsid w:val="005C6EBA"/>
    <w:rsid w:val="005C7718"/>
    <w:rsid w:val="005D468F"/>
    <w:rsid w:val="005D62AC"/>
    <w:rsid w:val="005D7A84"/>
    <w:rsid w:val="005E2DC3"/>
    <w:rsid w:val="005E451F"/>
    <w:rsid w:val="005E4EF8"/>
    <w:rsid w:val="005E5426"/>
    <w:rsid w:val="005E6E46"/>
    <w:rsid w:val="005E7DF3"/>
    <w:rsid w:val="005F1644"/>
    <w:rsid w:val="005F40C4"/>
    <w:rsid w:val="0060084C"/>
    <w:rsid w:val="00601CBB"/>
    <w:rsid w:val="00605699"/>
    <w:rsid w:val="0060572A"/>
    <w:rsid w:val="00607296"/>
    <w:rsid w:val="0061067A"/>
    <w:rsid w:val="00611009"/>
    <w:rsid w:val="00614DCC"/>
    <w:rsid w:val="006157E0"/>
    <w:rsid w:val="0061648E"/>
    <w:rsid w:val="00617D36"/>
    <w:rsid w:val="00622981"/>
    <w:rsid w:val="006265F0"/>
    <w:rsid w:val="00631477"/>
    <w:rsid w:val="006374B8"/>
    <w:rsid w:val="0064354D"/>
    <w:rsid w:val="00644378"/>
    <w:rsid w:val="0064534F"/>
    <w:rsid w:val="00645B78"/>
    <w:rsid w:val="006501E1"/>
    <w:rsid w:val="0065323E"/>
    <w:rsid w:val="0065350A"/>
    <w:rsid w:val="00656D92"/>
    <w:rsid w:val="00661634"/>
    <w:rsid w:val="00662354"/>
    <w:rsid w:val="00663200"/>
    <w:rsid w:val="00664A60"/>
    <w:rsid w:val="006663BA"/>
    <w:rsid w:val="006663D2"/>
    <w:rsid w:val="006676C0"/>
    <w:rsid w:val="006739B7"/>
    <w:rsid w:val="006808D1"/>
    <w:rsid w:val="006809D4"/>
    <w:rsid w:val="006828C1"/>
    <w:rsid w:val="00685B71"/>
    <w:rsid w:val="0068630F"/>
    <w:rsid w:val="0069394D"/>
    <w:rsid w:val="006944D6"/>
    <w:rsid w:val="0069482E"/>
    <w:rsid w:val="006A09C2"/>
    <w:rsid w:val="006A5EBD"/>
    <w:rsid w:val="006A6FEE"/>
    <w:rsid w:val="006B3CE1"/>
    <w:rsid w:val="006B6CC3"/>
    <w:rsid w:val="006B709B"/>
    <w:rsid w:val="006B722D"/>
    <w:rsid w:val="006B7B2D"/>
    <w:rsid w:val="006C18A2"/>
    <w:rsid w:val="006C5457"/>
    <w:rsid w:val="006C79FD"/>
    <w:rsid w:val="006D1554"/>
    <w:rsid w:val="006D1689"/>
    <w:rsid w:val="006D4ED5"/>
    <w:rsid w:val="006E08A4"/>
    <w:rsid w:val="006E33C3"/>
    <w:rsid w:val="006E4EA0"/>
    <w:rsid w:val="006F197C"/>
    <w:rsid w:val="006F39C4"/>
    <w:rsid w:val="006F4F7A"/>
    <w:rsid w:val="006F6CE9"/>
    <w:rsid w:val="00706A14"/>
    <w:rsid w:val="0071121A"/>
    <w:rsid w:val="00715CF8"/>
    <w:rsid w:val="00725B44"/>
    <w:rsid w:val="00726788"/>
    <w:rsid w:val="00727BA3"/>
    <w:rsid w:val="007322D6"/>
    <w:rsid w:val="007324B9"/>
    <w:rsid w:val="007342AE"/>
    <w:rsid w:val="007366B1"/>
    <w:rsid w:val="007443F0"/>
    <w:rsid w:val="0074529C"/>
    <w:rsid w:val="00750304"/>
    <w:rsid w:val="00756EFB"/>
    <w:rsid w:val="00762BC2"/>
    <w:rsid w:val="00771F5B"/>
    <w:rsid w:val="007800BF"/>
    <w:rsid w:val="007812D9"/>
    <w:rsid w:val="007821E1"/>
    <w:rsid w:val="00791784"/>
    <w:rsid w:val="00793AAC"/>
    <w:rsid w:val="00796BDD"/>
    <w:rsid w:val="007A6504"/>
    <w:rsid w:val="007B2463"/>
    <w:rsid w:val="007C4316"/>
    <w:rsid w:val="007D0387"/>
    <w:rsid w:val="007E27E5"/>
    <w:rsid w:val="007E7EBC"/>
    <w:rsid w:val="007F18A6"/>
    <w:rsid w:val="007F1B9E"/>
    <w:rsid w:val="007F4B5B"/>
    <w:rsid w:val="00802D3E"/>
    <w:rsid w:val="00802EA5"/>
    <w:rsid w:val="008064AD"/>
    <w:rsid w:val="00811934"/>
    <w:rsid w:val="00812E56"/>
    <w:rsid w:val="00813D19"/>
    <w:rsid w:val="00814217"/>
    <w:rsid w:val="00821489"/>
    <w:rsid w:val="00822FAA"/>
    <w:rsid w:val="00823526"/>
    <w:rsid w:val="00826A4F"/>
    <w:rsid w:val="008326C0"/>
    <w:rsid w:val="00833F5B"/>
    <w:rsid w:val="008356B3"/>
    <w:rsid w:val="00840619"/>
    <w:rsid w:val="008437C5"/>
    <w:rsid w:val="008442E4"/>
    <w:rsid w:val="00845EC0"/>
    <w:rsid w:val="0084643E"/>
    <w:rsid w:val="008525C7"/>
    <w:rsid w:val="008540C9"/>
    <w:rsid w:val="00855E46"/>
    <w:rsid w:val="008577A9"/>
    <w:rsid w:val="008611D2"/>
    <w:rsid w:val="008627BE"/>
    <w:rsid w:val="00862D3B"/>
    <w:rsid w:val="0086788D"/>
    <w:rsid w:val="00872F16"/>
    <w:rsid w:val="0087302F"/>
    <w:rsid w:val="00873D14"/>
    <w:rsid w:val="00875158"/>
    <w:rsid w:val="00876D5E"/>
    <w:rsid w:val="00877279"/>
    <w:rsid w:val="00877AA7"/>
    <w:rsid w:val="00883A41"/>
    <w:rsid w:val="00883E38"/>
    <w:rsid w:val="00884A98"/>
    <w:rsid w:val="00884CB0"/>
    <w:rsid w:val="00885AA5"/>
    <w:rsid w:val="008874F3"/>
    <w:rsid w:val="00892345"/>
    <w:rsid w:val="00893214"/>
    <w:rsid w:val="00894C14"/>
    <w:rsid w:val="00894FB2"/>
    <w:rsid w:val="00895BB4"/>
    <w:rsid w:val="00896175"/>
    <w:rsid w:val="008A5738"/>
    <w:rsid w:val="008B2580"/>
    <w:rsid w:val="008B343A"/>
    <w:rsid w:val="008B4985"/>
    <w:rsid w:val="008C0358"/>
    <w:rsid w:val="008C06EC"/>
    <w:rsid w:val="008C1BB3"/>
    <w:rsid w:val="008C5322"/>
    <w:rsid w:val="008D5C00"/>
    <w:rsid w:val="008E1820"/>
    <w:rsid w:val="008F7711"/>
    <w:rsid w:val="00900736"/>
    <w:rsid w:val="0090424E"/>
    <w:rsid w:val="00904AC3"/>
    <w:rsid w:val="00912810"/>
    <w:rsid w:val="009136A0"/>
    <w:rsid w:val="00914479"/>
    <w:rsid w:val="00916D05"/>
    <w:rsid w:val="009173C1"/>
    <w:rsid w:val="009176D9"/>
    <w:rsid w:val="00921D4C"/>
    <w:rsid w:val="00923C43"/>
    <w:rsid w:val="00925510"/>
    <w:rsid w:val="00936926"/>
    <w:rsid w:val="00941607"/>
    <w:rsid w:val="00947CC3"/>
    <w:rsid w:val="009543EB"/>
    <w:rsid w:val="00954AD5"/>
    <w:rsid w:val="00955B5B"/>
    <w:rsid w:val="00964DDD"/>
    <w:rsid w:val="00964E2F"/>
    <w:rsid w:val="00965CEE"/>
    <w:rsid w:val="00967F90"/>
    <w:rsid w:val="00970C60"/>
    <w:rsid w:val="00971EEB"/>
    <w:rsid w:val="00972A1C"/>
    <w:rsid w:val="00972FB7"/>
    <w:rsid w:val="00976771"/>
    <w:rsid w:val="00981D23"/>
    <w:rsid w:val="00982369"/>
    <w:rsid w:val="00993001"/>
    <w:rsid w:val="00993D44"/>
    <w:rsid w:val="009A1D3E"/>
    <w:rsid w:val="009A3197"/>
    <w:rsid w:val="009A4E45"/>
    <w:rsid w:val="009A5548"/>
    <w:rsid w:val="009A5F44"/>
    <w:rsid w:val="009B0353"/>
    <w:rsid w:val="009B4F8B"/>
    <w:rsid w:val="009B6600"/>
    <w:rsid w:val="009B6CB6"/>
    <w:rsid w:val="009B78FC"/>
    <w:rsid w:val="009D27C7"/>
    <w:rsid w:val="009D4C6E"/>
    <w:rsid w:val="009E0F52"/>
    <w:rsid w:val="009E15D7"/>
    <w:rsid w:val="009F4044"/>
    <w:rsid w:val="00A018EB"/>
    <w:rsid w:val="00A11760"/>
    <w:rsid w:val="00A20976"/>
    <w:rsid w:val="00A2400F"/>
    <w:rsid w:val="00A30F72"/>
    <w:rsid w:val="00A345EE"/>
    <w:rsid w:val="00A36A8B"/>
    <w:rsid w:val="00A36FFD"/>
    <w:rsid w:val="00A379F0"/>
    <w:rsid w:val="00A47D83"/>
    <w:rsid w:val="00A559DD"/>
    <w:rsid w:val="00A62C3B"/>
    <w:rsid w:val="00A63D12"/>
    <w:rsid w:val="00A71310"/>
    <w:rsid w:val="00A71866"/>
    <w:rsid w:val="00A71BAF"/>
    <w:rsid w:val="00A71F1D"/>
    <w:rsid w:val="00A74E87"/>
    <w:rsid w:val="00A76E90"/>
    <w:rsid w:val="00A90F22"/>
    <w:rsid w:val="00A93203"/>
    <w:rsid w:val="00A94285"/>
    <w:rsid w:val="00AA645C"/>
    <w:rsid w:val="00AA7514"/>
    <w:rsid w:val="00AB3177"/>
    <w:rsid w:val="00AB5737"/>
    <w:rsid w:val="00AC1C68"/>
    <w:rsid w:val="00AC2E92"/>
    <w:rsid w:val="00AC2EA6"/>
    <w:rsid w:val="00AC7270"/>
    <w:rsid w:val="00AD4A33"/>
    <w:rsid w:val="00AD4AF3"/>
    <w:rsid w:val="00AE0056"/>
    <w:rsid w:val="00AE61B3"/>
    <w:rsid w:val="00AF49C0"/>
    <w:rsid w:val="00B04F35"/>
    <w:rsid w:val="00B07271"/>
    <w:rsid w:val="00B168D5"/>
    <w:rsid w:val="00B26213"/>
    <w:rsid w:val="00B300D6"/>
    <w:rsid w:val="00B33005"/>
    <w:rsid w:val="00B34F28"/>
    <w:rsid w:val="00B364F9"/>
    <w:rsid w:val="00B53120"/>
    <w:rsid w:val="00B55203"/>
    <w:rsid w:val="00B648D5"/>
    <w:rsid w:val="00B6710E"/>
    <w:rsid w:val="00B72DC2"/>
    <w:rsid w:val="00B761E2"/>
    <w:rsid w:val="00B77368"/>
    <w:rsid w:val="00B77FC5"/>
    <w:rsid w:val="00B808EA"/>
    <w:rsid w:val="00B824F5"/>
    <w:rsid w:val="00B87AC2"/>
    <w:rsid w:val="00B87B76"/>
    <w:rsid w:val="00B9324D"/>
    <w:rsid w:val="00B94CB8"/>
    <w:rsid w:val="00BA0EDD"/>
    <w:rsid w:val="00BA3E54"/>
    <w:rsid w:val="00BB3C49"/>
    <w:rsid w:val="00BB61E8"/>
    <w:rsid w:val="00BC3FBD"/>
    <w:rsid w:val="00BC5655"/>
    <w:rsid w:val="00BC663F"/>
    <w:rsid w:val="00BD0869"/>
    <w:rsid w:val="00BD1CAD"/>
    <w:rsid w:val="00BD4359"/>
    <w:rsid w:val="00BE0B04"/>
    <w:rsid w:val="00BE5671"/>
    <w:rsid w:val="00BE720D"/>
    <w:rsid w:val="00BF0171"/>
    <w:rsid w:val="00BF59E3"/>
    <w:rsid w:val="00C00E91"/>
    <w:rsid w:val="00C02014"/>
    <w:rsid w:val="00C02661"/>
    <w:rsid w:val="00C030AF"/>
    <w:rsid w:val="00C108F4"/>
    <w:rsid w:val="00C11B0A"/>
    <w:rsid w:val="00C11FDE"/>
    <w:rsid w:val="00C1356E"/>
    <w:rsid w:val="00C1496C"/>
    <w:rsid w:val="00C21CF0"/>
    <w:rsid w:val="00C22784"/>
    <w:rsid w:val="00C27AD6"/>
    <w:rsid w:val="00C3338B"/>
    <w:rsid w:val="00C33530"/>
    <w:rsid w:val="00C33C1D"/>
    <w:rsid w:val="00C425A5"/>
    <w:rsid w:val="00C44776"/>
    <w:rsid w:val="00C458F7"/>
    <w:rsid w:val="00C5307C"/>
    <w:rsid w:val="00C54830"/>
    <w:rsid w:val="00C557BA"/>
    <w:rsid w:val="00C616C2"/>
    <w:rsid w:val="00C65E6F"/>
    <w:rsid w:val="00C73B4D"/>
    <w:rsid w:val="00C756B6"/>
    <w:rsid w:val="00C82D04"/>
    <w:rsid w:val="00C955BD"/>
    <w:rsid w:val="00CA1E18"/>
    <w:rsid w:val="00CB132B"/>
    <w:rsid w:val="00CB2EC5"/>
    <w:rsid w:val="00CB5E54"/>
    <w:rsid w:val="00CB6C95"/>
    <w:rsid w:val="00CC062E"/>
    <w:rsid w:val="00CC1AA7"/>
    <w:rsid w:val="00CC7A40"/>
    <w:rsid w:val="00CD0B81"/>
    <w:rsid w:val="00CD7CB9"/>
    <w:rsid w:val="00CE05BB"/>
    <w:rsid w:val="00CF109C"/>
    <w:rsid w:val="00CF3A9B"/>
    <w:rsid w:val="00CF6066"/>
    <w:rsid w:val="00CF7BAE"/>
    <w:rsid w:val="00D005D6"/>
    <w:rsid w:val="00D04529"/>
    <w:rsid w:val="00D06BCA"/>
    <w:rsid w:val="00D0708B"/>
    <w:rsid w:val="00D07965"/>
    <w:rsid w:val="00D11BFA"/>
    <w:rsid w:val="00D1264A"/>
    <w:rsid w:val="00D212A0"/>
    <w:rsid w:val="00D25E80"/>
    <w:rsid w:val="00D26143"/>
    <w:rsid w:val="00D30918"/>
    <w:rsid w:val="00D3266B"/>
    <w:rsid w:val="00D37BB3"/>
    <w:rsid w:val="00D44BB5"/>
    <w:rsid w:val="00D51CA6"/>
    <w:rsid w:val="00D541C9"/>
    <w:rsid w:val="00D570F6"/>
    <w:rsid w:val="00D62002"/>
    <w:rsid w:val="00D716E2"/>
    <w:rsid w:val="00D72158"/>
    <w:rsid w:val="00D73DA1"/>
    <w:rsid w:val="00D77B69"/>
    <w:rsid w:val="00D80817"/>
    <w:rsid w:val="00D80D1C"/>
    <w:rsid w:val="00D81DFC"/>
    <w:rsid w:val="00D91990"/>
    <w:rsid w:val="00D941B9"/>
    <w:rsid w:val="00DA688B"/>
    <w:rsid w:val="00DB11E5"/>
    <w:rsid w:val="00DB1F7D"/>
    <w:rsid w:val="00DB30D7"/>
    <w:rsid w:val="00DB3971"/>
    <w:rsid w:val="00DB4714"/>
    <w:rsid w:val="00DB5D5B"/>
    <w:rsid w:val="00DB7BE9"/>
    <w:rsid w:val="00DC0EA8"/>
    <w:rsid w:val="00DC230E"/>
    <w:rsid w:val="00DC2A36"/>
    <w:rsid w:val="00DD55E1"/>
    <w:rsid w:val="00DE52C2"/>
    <w:rsid w:val="00E00A60"/>
    <w:rsid w:val="00E05AE4"/>
    <w:rsid w:val="00E06181"/>
    <w:rsid w:val="00E11272"/>
    <w:rsid w:val="00E12126"/>
    <w:rsid w:val="00E267BA"/>
    <w:rsid w:val="00E27265"/>
    <w:rsid w:val="00E32629"/>
    <w:rsid w:val="00E3657F"/>
    <w:rsid w:val="00E477CA"/>
    <w:rsid w:val="00E52C8E"/>
    <w:rsid w:val="00E535DB"/>
    <w:rsid w:val="00E53DFB"/>
    <w:rsid w:val="00E60E35"/>
    <w:rsid w:val="00E66C14"/>
    <w:rsid w:val="00E71D75"/>
    <w:rsid w:val="00E71DAF"/>
    <w:rsid w:val="00E726F1"/>
    <w:rsid w:val="00E80594"/>
    <w:rsid w:val="00E81B03"/>
    <w:rsid w:val="00E862ED"/>
    <w:rsid w:val="00E86ECA"/>
    <w:rsid w:val="00E92E1F"/>
    <w:rsid w:val="00E97147"/>
    <w:rsid w:val="00EA13DD"/>
    <w:rsid w:val="00EA2A95"/>
    <w:rsid w:val="00EB053C"/>
    <w:rsid w:val="00EC0E91"/>
    <w:rsid w:val="00EC2BE7"/>
    <w:rsid w:val="00EC5731"/>
    <w:rsid w:val="00EC5E26"/>
    <w:rsid w:val="00EC7E32"/>
    <w:rsid w:val="00ED13C7"/>
    <w:rsid w:val="00ED778D"/>
    <w:rsid w:val="00EE1563"/>
    <w:rsid w:val="00EE2D3A"/>
    <w:rsid w:val="00EE3324"/>
    <w:rsid w:val="00EE3869"/>
    <w:rsid w:val="00EF1231"/>
    <w:rsid w:val="00EF17D0"/>
    <w:rsid w:val="00EF1CEC"/>
    <w:rsid w:val="00EF2AFD"/>
    <w:rsid w:val="00EF5E2C"/>
    <w:rsid w:val="00F03689"/>
    <w:rsid w:val="00F03FB9"/>
    <w:rsid w:val="00F05B7B"/>
    <w:rsid w:val="00F067B7"/>
    <w:rsid w:val="00F110D7"/>
    <w:rsid w:val="00F12D01"/>
    <w:rsid w:val="00F13A3D"/>
    <w:rsid w:val="00F205F2"/>
    <w:rsid w:val="00F277F9"/>
    <w:rsid w:val="00F27BC1"/>
    <w:rsid w:val="00F30817"/>
    <w:rsid w:val="00F31275"/>
    <w:rsid w:val="00F331EC"/>
    <w:rsid w:val="00F35139"/>
    <w:rsid w:val="00F3750A"/>
    <w:rsid w:val="00F4048C"/>
    <w:rsid w:val="00F456D9"/>
    <w:rsid w:val="00F53224"/>
    <w:rsid w:val="00F5570B"/>
    <w:rsid w:val="00F56A92"/>
    <w:rsid w:val="00F629C1"/>
    <w:rsid w:val="00F67E05"/>
    <w:rsid w:val="00F75857"/>
    <w:rsid w:val="00F80201"/>
    <w:rsid w:val="00F80FDE"/>
    <w:rsid w:val="00F81C8B"/>
    <w:rsid w:val="00F90FC2"/>
    <w:rsid w:val="00F91216"/>
    <w:rsid w:val="00F9187B"/>
    <w:rsid w:val="00FA0EF2"/>
    <w:rsid w:val="00FA541F"/>
    <w:rsid w:val="00FB2C8D"/>
    <w:rsid w:val="00FB769E"/>
    <w:rsid w:val="00FC6695"/>
    <w:rsid w:val="00FD4522"/>
    <w:rsid w:val="00FE0A83"/>
    <w:rsid w:val="00FE4E03"/>
    <w:rsid w:val="00FF52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006FA"/>
  <w15:docId w15:val="{5500F745-72C6-4D95-B022-5901BB1F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uiPriority w:val="99"/>
    <w:rsid w:val="00E27265"/>
    <w:pPr>
      <w:jc w:val="both"/>
    </w:pPr>
    <w:rPr>
      <w:b/>
      <w:sz w:val="28"/>
    </w:rPr>
  </w:style>
  <w:style w:type="character" w:customStyle="1" w:styleId="a6">
    <w:name w:val="Основной текст Знак"/>
    <w:basedOn w:val="a0"/>
    <w:link w:val="a5"/>
    <w:uiPriority w:val="99"/>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uiPriority w:val="99"/>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5D06-A10D-46BA-8FDD-A1059CA5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8534</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Пользователь Windows</cp:lastModifiedBy>
  <cp:revision>3</cp:revision>
  <cp:lastPrinted>2017-11-29T14:57:00Z</cp:lastPrinted>
  <dcterms:created xsi:type="dcterms:W3CDTF">2018-01-10T14:22:00Z</dcterms:created>
  <dcterms:modified xsi:type="dcterms:W3CDTF">2018-01-12T08:36:00Z</dcterms:modified>
</cp:coreProperties>
</file>