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44" w:rsidRDefault="005423CC" w:rsidP="005423CC">
      <w:pPr>
        <w:pStyle w:val="a6"/>
        <w:jc w:val="right"/>
        <w:rPr>
          <w:rFonts w:ascii="Times New Roman" w:hAnsi="Times New Roman"/>
          <w:sz w:val="24"/>
          <w:szCs w:val="24"/>
        </w:rPr>
      </w:pPr>
      <w:r>
        <w:rPr>
          <w:rFonts w:ascii="Times New Roman" w:hAnsi="Times New Roman"/>
          <w:sz w:val="24"/>
          <w:szCs w:val="24"/>
        </w:rPr>
        <w:t>Проєкт</w:t>
      </w:r>
    </w:p>
    <w:p w:rsidR="007D0069" w:rsidRPr="001F3D44" w:rsidRDefault="007D0069" w:rsidP="001F3D44">
      <w:pPr>
        <w:pStyle w:val="a6"/>
        <w:rPr>
          <w:rFonts w:ascii="Times New Roman" w:hAnsi="Times New Roman"/>
          <w:sz w:val="24"/>
          <w:szCs w:val="24"/>
        </w:rPr>
      </w:pPr>
    </w:p>
    <w:p w:rsidR="00185CA1" w:rsidRDefault="00220FF8" w:rsidP="00DF2931">
      <w:pPr>
        <w:pStyle w:val="a6"/>
        <w:jc w:val="center"/>
        <w:rPr>
          <w:rFonts w:ascii="Times New Roman" w:hAnsi="Times New Roman"/>
          <w:b/>
          <w:sz w:val="28"/>
          <w:szCs w:val="28"/>
        </w:rPr>
      </w:pPr>
      <w:r w:rsidRPr="001F3D44">
        <w:rPr>
          <w:rFonts w:ascii="Times New Roman" w:hAnsi="Times New Roman"/>
          <w:b/>
          <w:sz w:val="28"/>
          <w:szCs w:val="28"/>
        </w:rPr>
        <w:t xml:space="preserve">План заходів з реалізації </w:t>
      </w:r>
      <w:r w:rsidR="00DF2931">
        <w:rPr>
          <w:rFonts w:ascii="Times New Roman" w:hAnsi="Times New Roman"/>
          <w:b/>
          <w:sz w:val="28"/>
          <w:szCs w:val="28"/>
        </w:rPr>
        <w:t xml:space="preserve">у 2023 році Департаментом </w:t>
      </w:r>
      <w:r w:rsidRPr="001F3D44">
        <w:rPr>
          <w:rFonts w:ascii="Times New Roman" w:hAnsi="Times New Roman"/>
          <w:b/>
          <w:sz w:val="28"/>
          <w:szCs w:val="28"/>
        </w:rPr>
        <w:t>Регіональної програми сприяння розвитку інформаційного простор</w:t>
      </w:r>
      <w:r w:rsidR="007D0069">
        <w:rPr>
          <w:rFonts w:ascii="Times New Roman" w:hAnsi="Times New Roman"/>
          <w:b/>
          <w:sz w:val="28"/>
          <w:szCs w:val="28"/>
        </w:rPr>
        <w:t>у та громадянського суспільства</w:t>
      </w:r>
      <w:r w:rsidR="00DF2931">
        <w:rPr>
          <w:rFonts w:ascii="Times New Roman" w:hAnsi="Times New Roman"/>
          <w:b/>
          <w:sz w:val="28"/>
          <w:szCs w:val="28"/>
        </w:rPr>
        <w:t xml:space="preserve"> у Вінницькій області на 2022–2025 роки, затвердженої рішенням </w:t>
      </w:r>
      <w:r w:rsidR="00185CA1">
        <w:rPr>
          <w:rFonts w:ascii="Times New Roman" w:hAnsi="Times New Roman"/>
          <w:b/>
          <w:sz w:val="28"/>
          <w:szCs w:val="28"/>
        </w:rPr>
        <w:t>14 сесії Вінницької обласної Ради 8 скликання</w:t>
      </w:r>
    </w:p>
    <w:p w:rsidR="005D36CE" w:rsidRPr="001F3D44" w:rsidRDefault="00185CA1" w:rsidP="00DF2931">
      <w:pPr>
        <w:pStyle w:val="a6"/>
        <w:jc w:val="center"/>
        <w:rPr>
          <w:rFonts w:ascii="Times New Roman" w:hAnsi="Times New Roman"/>
          <w:b/>
          <w:sz w:val="28"/>
          <w:szCs w:val="28"/>
        </w:rPr>
      </w:pPr>
      <w:r>
        <w:rPr>
          <w:rFonts w:ascii="Times New Roman" w:hAnsi="Times New Roman"/>
          <w:b/>
          <w:sz w:val="28"/>
          <w:szCs w:val="28"/>
        </w:rPr>
        <w:t>від 26 листопада 2021 року № 265</w:t>
      </w:r>
    </w:p>
    <w:p w:rsidR="00C97A7B" w:rsidRPr="001F3D44" w:rsidRDefault="00C97A7B" w:rsidP="001F3D44">
      <w:pPr>
        <w:pStyle w:val="a6"/>
        <w:rPr>
          <w:rFonts w:ascii="Times New Roman" w:hAnsi="Times New Roman"/>
          <w:sz w:val="24"/>
          <w:szCs w:val="24"/>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66"/>
        <w:gridCol w:w="3741"/>
        <w:gridCol w:w="186"/>
        <w:gridCol w:w="1130"/>
        <w:gridCol w:w="4284"/>
      </w:tblGrid>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E14879" w:rsidRPr="007D0069" w:rsidRDefault="00E14879" w:rsidP="007D0069">
            <w:pPr>
              <w:pStyle w:val="a6"/>
              <w:jc w:val="center"/>
              <w:rPr>
                <w:rFonts w:ascii="Times New Roman" w:hAnsi="Times New Roman"/>
                <w:b/>
                <w:sz w:val="24"/>
                <w:szCs w:val="24"/>
              </w:rPr>
            </w:pPr>
            <w:r w:rsidRPr="007D0069">
              <w:rPr>
                <w:rFonts w:ascii="Times New Roman" w:hAnsi="Times New Roman"/>
                <w:b/>
                <w:sz w:val="24"/>
                <w:szCs w:val="24"/>
              </w:rPr>
              <w:t>№</w:t>
            </w:r>
          </w:p>
          <w:p w:rsidR="005D36CE" w:rsidRPr="007D0069" w:rsidRDefault="005D36CE" w:rsidP="007D0069">
            <w:pPr>
              <w:pStyle w:val="a6"/>
              <w:jc w:val="center"/>
              <w:rPr>
                <w:rFonts w:ascii="Times New Roman" w:hAnsi="Times New Roman"/>
                <w:b/>
                <w:sz w:val="24"/>
                <w:szCs w:val="24"/>
              </w:rPr>
            </w:pPr>
            <w:r w:rsidRPr="007D0069">
              <w:rPr>
                <w:rFonts w:ascii="Times New Roman" w:hAnsi="Times New Roman"/>
                <w:b/>
                <w:sz w:val="24"/>
                <w:szCs w:val="24"/>
              </w:rPr>
              <w:t>з/п</w:t>
            </w:r>
          </w:p>
        </w:tc>
        <w:tc>
          <w:tcPr>
            <w:tcW w:w="1917" w:type="pct"/>
            <w:tcBorders>
              <w:top w:val="single" w:sz="4" w:space="0" w:color="auto"/>
              <w:left w:val="outset" w:sz="6" w:space="0" w:color="auto"/>
              <w:bottom w:val="single" w:sz="4" w:space="0" w:color="auto"/>
              <w:right w:val="single" w:sz="4" w:space="0" w:color="auto"/>
            </w:tcBorders>
          </w:tcPr>
          <w:p w:rsidR="005D36CE" w:rsidRPr="007D0069" w:rsidRDefault="005D36CE" w:rsidP="007D0069">
            <w:pPr>
              <w:pStyle w:val="a6"/>
              <w:jc w:val="center"/>
              <w:rPr>
                <w:rFonts w:ascii="Times New Roman" w:hAnsi="Times New Roman"/>
                <w:b/>
                <w:sz w:val="24"/>
                <w:szCs w:val="24"/>
              </w:rPr>
            </w:pPr>
            <w:r w:rsidRPr="007D0069">
              <w:rPr>
                <w:rFonts w:ascii="Times New Roman" w:hAnsi="Times New Roman"/>
                <w:b/>
                <w:sz w:val="24"/>
                <w:szCs w:val="24"/>
              </w:rPr>
              <w:t>Захід</w:t>
            </w:r>
          </w:p>
        </w:tc>
        <w:tc>
          <w:tcPr>
            <w:tcW w:w="626" w:type="pct"/>
            <w:gridSpan w:val="2"/>
            <w:tcBorders>
              <w:top w:val="single" w:sz="4" w:space="0" w:color="auto"/>
              <w:left w:val="single" w:sz="4" w:space="0" w:color="auto"/>
              <w:bottom w:val="single" w:sz="4" w:space="0" w:color="auto"/>
              <w:right w:val="single" w:sz="4" w:space="0" w:color="auto"/>
            </w:tcBorders>
          </w:tcPr>
          <w:p w:rsidR="005D36CE" w:rsidRPr="007D0069" w:rsidRDefault="005D36CE" w:rsidP="007D0069">
            <w:pPr>
              <w:pStyle w:val="a6"/>
              <w:jc w:val="center"/>
              <w:rPr>
                <w:rFonts w:ascii="Times New Roman" w:hAnsi="Times New Roman"/>
                <w:b/>
                <w:sz w:val="24"/>
                <w:szCs w:val="24"/>
              </w:rPr>
            </w:pPr>
            <w:r w:rsidRPr="007D0069">
              <w:rPr>
                <w:rFonts w:ascii="Times New Roman" w:hAnsi="Times New Roman"/>
                <w:b/>
                <w:sz w:val="24"/>
                <w:szCs w:val="24"/>
              </w:rPr>
              <w:t>Термін виконання</w:t>
            </w:r>
          </w:p>
        </w:tc>
        <w:tc>
          <w:tcPr>
            <w:tcW w:w="2141" w:type="pct"/>
            <w:tcBorders>
              <w:top w:val="single" w:sz="4" w:space="0" w:color="auto"/>
              <w:left w:val="single" w:sz="4" w:space="0" w:color="auto"/>
              <w:bottom w:val="single" w:sz="4" w:space="0" w:color="auto"/>
              <w:right w:val="single" w:sz="4" w:space="0" w:color="auto"/>
            </w:tcBorders>
          </w:tcPr>
          <w:p w:rsidR="005D36CE" w:rsidRPr="007D0069" w:rsidRDefault="005D36CE" w:rsidP="007D0069">
            <w:pPr>
              <w:pStyle w:val="a6"/>
              <w:jc w:val="center"/>
              <w:rPr>
                <w:rFonts w:ascii="Times New Roman" w:hAnsi="Times New Roman"/>
                <w:b/>
                <w:sz w:val="24"/>
                <w:szCs w:val="24"/>
              </w:rPr>
            </w:pPr>
            <w:r w:rsidRPr="007D0069">
              <w:rPr>
                <w:rFonts w:ascii="Times New Roman" w:hAnsi="Times New Roman"/>
                <w:b/>
                <w:sz w:val="24"/>
                <w:szCs w:val="24"/>
              </w:rPr>
              <w:t>Виконавець</w:t>
            </w:r>
          </w:p>
        </w:tc>
      </w:tr>
      <w:tr w:rsidR="00C97A7B"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5D36CE" w:rsidRPr="007D0069" w:rsidRDefault="005D36CE" w:rsidP="007D0069">
            <w:pPr>
              <w:pStyle w:val="a6"/>
              <w:jc w:val="center"/>
              <w:rPr>
                <w:rFonts w:ascii="Times New Roman" w:hAnsi="Times New Roman"/>
                <w:b/>
                <w:sz w:val="24"/>
                <w:szCs w:val="24"/>
              </w:rPr>
            </w:pPr>
            <w:r w:rsidRPr="007D0069">
              <w:rPr>
                <w:rFonts w:ascii="Times New Roman" w:hAnsi="Times New Roman"/>
                <w:b/>
                <w:sz w:val="24"/>
                <w:szCs w:val="24"/>
              </w:rPr>
              <w:t>1.</w:t>
            </w:r>
          </w:p>
        </w:tc>
        <w:tc>
          <w:tcPr>
            <w:tcW w:w="4729" w:type="pct"/>
            <w:gridSpan w:val="4"/>
            <w:tcBorders>
              <w:top w:val="single" w:sz="4" w:space="0" w:color="auto"/>
              <w:left w:val="outset" w:sz="6" w:space="0" w:color="auto"/>
              <w:bottom w:val="single" w:sz="4" w:space="0" w:color="auto"/>
              <w:right w:val="single" w:sz="4" w:space="0" w:color="auto"/>
            </w:tcBorders>
          </w:tcPr>
          <w:p w:rsidR="005D36CE" w:rsidRPr="007D0069" w:rsidRDefault="00881937" w:rsidP="007D0069">
            <w:pPr>
              <w:pStyle w:val="a6"/>
              <w:jc w:val="center"/>
              <w:rPr>
                <w:rFonts w:ascii="Times New Roman" w:hAnsi="Times New Roman"/>
                <w:b/>
                <w:sz w:val="24"/>
                <w:szCs w:val="24"/>
              </w:rPr>
            </w:pPr>
            <w:r w:rsidRPr="007D0069">
              <w:rPr>
                <w:rFonts w:ascii="Times New Roman" w:hAnsi="Times New Roman"/>
                <w:b/>
                <w:sz w:val="24"/>
                <w:szCs w:val="24"/>
              </w:rPr>
              <w:t>Забезпечення умов для реалізації на території області державної інформаційної політики, відкритості та прозорості у діяльності органів виконавчої влади</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173D8C" w:rsidRPr="001F3D44" w:rsidRDefault="002D2A07" w:rsidP="001F3D44">
            <w:pPr>
              <w:pStyle w:val="a6"/>
              <w:rPr>
                <w:rFonts w:ascii="Times New Roman" w:hAnsi="Times New Roman"/>
                <w:sz w:val="24"/>
                <w:szCs w:val="24"/>
              </w:rPr>
            </w:pPr>
            <w:bookmarkStart w:id="0" w:name="_Hlk90547317"/>
            <w:r w:rsidRPr="001F3D44">
              <w:rPr>
                <w:rFonts w:ascii="Times New Roman" w:hAnsi="Times New Roman"/>
                <w:sz w:val="24"/>
                <w:szCs w:val="24"/>
              </w:rPr>
              <w:t>1)</w:t>
            </w:r>
          </w:p>
        </w:tc>
        <w:tc>
          <w:tcPr>
            <w:tcW w:w="1989" w:type="pct"/>
            <w:gridSpan w:val="2"/>
            <w:tcBorders>
              <w:top w:val="single" w:sz="4" w:space="0" w:color="auto"/>
              <w:left w:val="single" w:sz="4" w:space="0" w:color="auto"/>
              <w:bottom w:val="single" w:sz="4" w:space="0" w:color="auto"/>
              <w:right w:val="single" w:sz="4" w:space="0" w:color="auto"/>
            </w:tcBorders>
          </w:tcPr>
          <w:p w:rsidR="00881937" w:rsidRPr="001F3D44" w:rsidRDefault="00881937" w:rsidP="00A6089D">
            <w:pPr>
              <w:pStyle w:val="a6"/>
              <w:rPr>
                <w:rFonts w:ascii="Times New Roman" w:hAnsi="Times New Roman"/>
                <w:sz w:val="24"/>
                <w:szCs w:val="24"/>
              </w:rPr>
            </w:pPr>
            <w:r w:rsidRPr="001F3D44">
              <w:rPr>
                <w:rFonts w:ascii="Times New Roman" w:hAnsi="Times New Roman"/>
                <w:sz w:val="24"/>
                <w:szCs w:val="24"/>
              </w:rPr>
              <w:t>Висвітлення діяльності органів виконавчої влади, оприлюднення оперативної інформації про події, що відбуваються в регіоні</w:t>
            </w:r>
            <w:r w:rsidR="00056C02" w:rsidRPr="001F3D44">
              <w:rPr>
                <w:rFonts w:ascii="Times New Roman" w:hAnsi="Times New Roman"/>
                <w:sz w:val="24"/>
                <w:szCs w:val="24"/>
              </w:rPr>
              <w:t>:</w:t>
            </w:r>
          </w:p>
          <w:p w:rsidR="00173D8C" w:rsidRPr="001F3D44" w:rsidRDefault="00056C02" w:rsidP="00A6089D">
            <w:pPr>
              <w:pStyle w:val="a6"/>
              <w:rPr>
                <w:rFonts w:ascii="Times New Roman" w:hAnsi="Times New Roman"/>
                <w:sz w:val="24"/>
                <w:szCs w:val="24"/>
              </w:rPr>
            </w:pPr>
            <w:r w:rsidRPr="001F3D44">
              <w:rPr>
                <w:rFonts w:ascii="Times New Roman" w:hAnsi="Times New Roman"/>
                <w:sz w:val="24"/>
                <w:szCs w:val="24"/>
              </w:rPr>
              <w:t xml:space="preserve">– створення тематичних </w:t>
            </w:r>
            <w:r w:rsidR="00881937" w:rsidRPr="001F3D44">
              <w:rPr>
                <w:rFonts w:ascii="Times New Roman" w:hAnsi="Times New Roman"/>
                <w:sz w:val="24"/>
                <w:szCs w:val="24"/>
              </w:rPr>
              <w:t xml:space="preserve">теле- і радіопередач, рубрик, </w:t>
            </w:r>
            <w:proofErr w:type="spellStart"/>
            <w:r w:rsidR="00881937" w:rsidRPr="001F3D44">
              <w:rPr>
                <w:rFonts w:ascii="Times New Roman" w:hAnsi="Times New Roman"/>
                <w:sz w:val="24"/>
                <w:szCs w:val="24"/>
              </w:rPr>
              <w:t>іміджевих</w:t>
            </w:r>
            <w:proofErr w:type="spellEnd"/>
            <w:r w:rsidR="00881937" w:rsidRPr="001F3D44">
              <w:rPr>
                <w:rFonts w:ascii="Times New Roman" w:hAnsi="Times New Roman"/>
                <w:sz w:val="24"/>
                <w:szCs w:val="24"/>
              </w:rPr>
              <w:t xml:space="preserve"> роликів, репортажів про важливі події соціально-економічного розвитку регіону;</w:t>
            </w:r>
          </w:p>
          <w:p w:rsidR="00881937" w:rsidRPr="001F3D44" w:rsidRDefault="00881937" w:rsidP="00A6089D">
            <w:pPr>
              <w:pStyle w:val="a6"/>
              <w:rPr>
                <w:rFonts w:ascii="Times New Roman" w:hAnsi="Times New Roman"/>
                <w:sz w:val="24"/>
                <w:szCs w:val="24"/>
              </w:rPr>
            </w:pPr>
            <w:r w:rsidRPr="001F3D44">
              <w:rPr>
                <w:rFonts w:ascii="Times New Roman" w:hAnsi="Times New Roman"/>
                <w:sz w:val="24"/>
                <w:szCs w:val="24"/>
              </w:rPr>
              <w:t>– висвітлення соціально важливих тем, заходів, розміщення інформаційних матеріалів у друкованих ЗМІ;</w:t>
            </w:r>
          </w:p>
          <w:p w:rsidR="00881937" w:rsidRPr="001F3D44" w:rsidRDefault="00056C02" w:rsidP="00A6089D">
            <w:pPr>
              <w:pStyle w:val="a6"/>
              <w:rPr>
                <w:rFonts w:ascii="Times New Roman" w:hAnsi="Times New Roman"/>
                <w:sz w:val="24"/>
                <w:szCs w:val="24"/>
              </w:rPr>
            </w:pPr>
            <w:r w:rsidRPr="001F3D44">
              <w:rPr>
                <w:rFonts w:ascii="Times New Roman" w:hAnsi="Times New Roman"/>
                <w:sz w:val="24"/>
                <w:szCs w:val="24"/>
              </w:rPr>
              <w:t xml:space="preserve">– </w:t>
            </w:r>
            <w:r w:rsidR="00881937" w:rsidRPr="001F3D44">
              <w:rPr>
                <w:rFonts w:ascii="Times New Roman" w:hAnsi="Times New Roman"/>
                <w:sz w:val="24"/>
                <w:szCs w:val="24"/>
              </w:rPr>
              <w:t>створення та поширення матеріалів про важливі події, що відбуваються в області, інформаційними агентствами</w:t>
            </w:r>
          </w:p>
        </w:tc>
        <w:tc>
          <w:tcPr>
            <w:tcW w:w="553" w:type="pct"/>
            <w:tcBorders>
              <w:top w:val="single" w:sz="4" w:space="0" w:color="auto"/>
              <w:left w:val="outset" w:sz="6" w:space="0" w:color="auto"/>
              <w:bottom w:val="single" w:sz="4" w:space="0" w:color="auto"/>
              <w:right w:val="single" w:sz="4" w:space="0" w:color="auto"/>
            </w:tcBorders>
          </w:tcPr>
          <w:p w:rsidR="00173D8C" w:rsidRPr="001F3D44" w:rsidRDefault="00A54226" w:rsidP="00A54226">
            <w:pPr>
              <w:pStyle w:val="a6"/>
              <w:jc w:val="center"/>
              <w:rPr>
                <w:rFonts w:ascii="Times New Roman" w:hAnsi="Times New Roman"/>
                <w:sz w:val="24"/>
                <w:szCs w:val="24"/>
              </w:rPr>
            </w:pPr>
            <w:bookmarkStart w:id="1" w:name="_Hlk117240951"/>
            <w:r>
              <w:rPr>
                <w:rFonts w:ascii="Times New Roman" w:hAnsi="Times New Roman"/>
                <w:sz w:val="24"/>
                <w:szCs w:val="24"/>
              </w:rPr>
              <w:t xml:space="preserve">Протягом 2023 </w:t>
            </w:r>
            <w:r w:rsidR="00BA364D" w:rsidRPr="001F3D44">
              <w:rPr>
                <w:rFonts w:ascii="Times New Roman" w:hAnsi="Times New Roman"/>
                <w:sz w:val="24"/>
                <w:szCs w:val="24"/>
              </w:rPr>
              <w:t>року</w:t>
            </w:r>
            <w:bookmarkEnd w:id="1"/>
          </w:p>
        </w:tc>
        <w:tc>
          <w:tcPr>
            <w:tcW w:w="2141" w:type="pct"/>
            <w:tcBorders>
              <w:top w:val="single" w:sz="4" w:space="0" w:color="auto"/>
              <w:left w:val="single" w:sz="4" w:space="0" w:color="auto"/>
              <w:bottom w:val="single" w:sz="4" w:space="0" w:color="auto"/>
              <w:right w:val="single" w:sz="4" w:space="0" w:color="auto"/>
            </w:tcBorders>
          </w:tcPr>
          <w:p w:rsidR="00173D8C" w:rsidRPr="001F3D44" w:rsidRDefault="004416DE"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2)</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Забезпечення участі журналістів обласних ЗМІ у виїзних колегіях, нарадах та робочих поїздках керівництва області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02190E">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4416DE">
            <w:pPr>
              <w:pStyle w:val="a6"/>
              <w:rPr>
                <w:rFonts w:ascii="Times New Roman" w:hAnsi="Times New Roman"/>
                <w:sz w:val="24"/>
                <w:szCs w:val="24"/>
              </w:rPr>
            </w:pPr>
            <w:bookmarkStart w:id="2" w:name="_Hlk117240848"/>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bookmarkEnd w:id="2"/>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3)</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Проведення інформаційних компаній, спрямованих на роз’яснення державної та регіональної політики</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02190E">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A76AC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4)</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Замовлення та розміщення соціальної реклами</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02190E">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A76AC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5)</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 xml:space="preserve">Організація та проведення </w:t>
            </w:r>
            <w:r w:rsidR="00E23EC7">
              <w:rPr>
                <w:rFonts w:ascii="Times New Roman" w:hAnsi="Times New Roman"/>
                <w:sz w:val="24"/>
                <w:szCs w:val="24"/>
              </w:rPr>
              <w:t>для журналістів обласних престурів</w:t>
            </w:r>
            <w:r w:rsidRPr="001F3D44">
              <w:rPr>
                <w:rFonts w:ascii="Times New Roman" w:hAnsi="Times New Roman"/>
                <w:sz w:val="24"/>
                <w:szCs w:val="24"/>
              </w:rPr>
              <w:t xml:space="preserve"> «Моя Вінниччина»</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02190E">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A76AC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6)</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Організація лекцій, семінарів, конференцій, тренінгів для відповідальних за зв’язки із ЗМІ  в структурних підрозділах обласної державної адміністрації,  районних державних адміністрацій, органах місцевого самоврядування</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02190E">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5D0795">
              <w:t>Департамент інформаційної діяльності та комунікацій з громадськістю обласної військової адміністрації</w:t>
            </w:r>
          </w:p>
        </w:tc>
      </w:tr>
      <w:bookmarkEnd w:id="0"/>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lastRenderedPageBreak/>
              <w:t>7)</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Організація лекцій, семінарів, тренінгів, конференцій з метою протидії та запобіганню загроз в інформаційному просторі.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2364B5">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5D0795">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8</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Проведення конкурсу журналістських робіт «Моя Вінниччина»</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2364B5">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6C4E4F">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9</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Проведення конкурсу короткометражного кіно серед старшокласників «Погляд у майбутнє»</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2364B5">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6C4E4F">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10</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Проведення тренінгів, майстер класів, семінарів, спрямованих на розвиток професійних компетентностей представників ЗМІ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2364B5">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6C4E4F">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11</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A6089D">
            <w:pPr>
              <w:pStyle w:val="a6"/>
              <w:rPr>
                <w:rFonts w:ascii="Times New Roman" w:hAnsi="Times New Roman"/>
                <w:sz w:val="24"/>
                <w:szCs w:val="24"/>
              </w:rPr>
            </w:pPr>
            <w:r w:rsidRPr="001F3D44">
              <w:rPr>
                <w:rFonts w:ascii="Times New Roman" w:hAnsi="Times New Roman"/>
                <w:sz w:val="24"/>
                <w:szCs w:val="24"/>
              </w:rPr>
              <w:t>Створення промоційних аудіо та відеороликів з подальшим розміщенням у ЗМІ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A20B68">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5639F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12</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C451B7">
            <w:pPr>
              <w:pStyle w:val="a6"/>
              <w:rPr>
                <w:rFonts w:ascii="Times New Roman" w:hAnsi="Times New Roman"/>
                <w:sz w:val="24"/>
                <w:szCs w:val="24"/>
              </w:rPr>
            </w:pPr>
            <w:r w:rsidRPr="001F3D44">
              <w:rPr>
                <w:rFonts w:ascii="Times New Roman" w:hAnsi="Times New Roman"/>
                <w:sz w:val="24"/>
                <w:szCs w:val="24"/>
              </w:rPr>
              <w:t>Проведення медійного форуму для регіональних та всеукраїнських ЗМІ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A20B68">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5639F6">
              <w:t>Департамент інформаційної діяльності та комунікацій з громадськістю обласної військової адміністрації</w:t>
            </w:r>
          </w:p>
        </w:tc>
      </w:tr>
      <w:tr w:rsidR="007C26C0"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7C26C0" w:rsidRPr="007D0069" w:rsidRDefault="007C26C0" w:rsidP="007D0069">
            <w:pPr>
              <w:pStyle w:val="a6"/>
              <w:jc w:val="center"/>
              <w:rPr>
                <w:rFonts w:ascii="Times New Roman" w:hAnsi="Times New Roman"/>
                <w:b/>
                <w:sz w:val="24"/>
                <w:szCs w:val="24"/>
              </w:rPr>
            </w:pPr>
            <w:r w:rsidRPr="007D0069">
              <w:rPr>
                <w:rFonts w:ascii="Times New Roman" w:hAnsi="Times New Roman"/>
                <w:b/>
                <w:sz w:val="24"/>
                <w:szCs w:val="24"/>
              </w:rPr>
              <w:t>2.</w:t>
            </w:r>
          </w:p>
        </w:tc>
        <w:tc>
          <w:tcPr>
            <w:tcW w:w="4729" w:type="pct"/>
            <w:gridSpan w:val="4"/>
            <w:tcBorders>
              <w:top w:val="single" w:sz="4" w:space="0" w:color="auto"/>
              <w:left w:val="single" w:sz="4" w:space="0" w:color="auto"/>
              <w:bottom w:val="single" w:sz="4" w:space="0" w:color="auto"/>
              <w:right w:val="single" w:sz="4" w:space="0" w:color="auto"/>
            </w:tcBorders>
          </w:tcPr>
          <w:p w:rsidR="007C26C0" w:rsidRPr="007D0069" w:rsidRDefault="007C26C0" w:rsidP="00F15F5E">
            <w:pPr>
              <w:pStyle w:val="a6"/>
              <w:jc w:val="center"/>
              <w:rPr>
                <w:rFonts w:ascii="Times New Roman" w:hAnsi="Times New Roman"/>
                <w:b/>
                <w:sz w:val="24"/>
                <w:szCs w:val="24"/>
              </w:rPr>
            </w:pPr>
            <w:r w:rsidRPr="007D0069">
              <w:rPr>
                <w:rFonts w:ascii="Times New Roman" w:hAnsi="Times New Roman"/>
                <w:b/>
                <w:sz w:val="24"/>
                <w:szCs w:val="24"/>
              </w:rPr>
              <w:t>Підтримка книговидання та книгорозповсюдження на території Вінницької області</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1</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Видання творів серії «Моя Вінниччина»</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9F248F">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027C94">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2</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презентації книг, виданих коштом обласного бюджету</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9F248F">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027C94">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3</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Популяризація книгочитання, проведення виставок книг виданих на Вінниччині</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9F248F">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027C94">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4</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обласного конкурсу «Краща книга Вінниччини»</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9F248F">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265642">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Pr>
                <w:rFonts w:ascii="Times New Roman" w:hAnsi="Times New Roman"/>
                <w:sz w:val="24"/>
                <w:szCs w:val="24"/>
              </w:rPr>
              <w:t>5</w:t>
            </w:r>
            <w:r w:rsidRPr="001F3D44">
              <w:rPr>
                <w:rFonts w:ascii="Times New Roman" w:hAnsi="Times New Roman"/>
                <w:sz w:val="24"/>
                <w:szCs w:val="24"/>
              </w:rPr>
              <w:t>)</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книжкових ярмарків</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9F248F">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265642">
              <w:t>Департамент інформаційної діяльності та комунікацій з громадськістю обласної військової адміністрації</w:t>
            </w:r>
          </w:p>
        </w:tc>
      </w:tr>
      <w:tr w:rsidR="00AB790A"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3.</w:t>
            </w:r>
          </w:p>
        </w:tc>
        <w:tc>
          <w:tcPr>
            <w:tcW w:w="4729" w:type="pct"/>
            <w:gridSpan w:val="4"/>
            <w:tcBorders>
              <w:top w:val="single" w:sz="4" w:space="0" w:color="auto"/>
              <w:left w:val="single" w:sz="4" w:space="0" w:color="auto"/>
              <w:bottom w:val="single" w:sz="4" w:space="0" w:color="auto"/>
              <w:right w:val="single" w:sz="4" w:space="0" w:color="auto"/>
            </w:tcBorders>
          </w:tcPr>
          <w:p w:rsidR="00AB790A" w:rsidRPr="007D0069" w:rsidRDefault="00AB790A" w:rsidP="00F15F5E">
            <w:pPr>
              <w:pStyle w:val="a6"/>
              <w:jc w:val="center"/>
              <w:rPr>
                <w:rFonts w:ascii="Times New Roman" w:hAnsi="Times New Roman"/>
                <w:b/>
                <w:sz w:val="24"/>
                <w:szCs w:val="24"/>
              </w:rPr>
            </w:pPr>
            <w:r w:rsidRPr="007D0069">
              <w:rPr>
                <w:rFonts w:ascii="Times New Roman" w:hAnsi="Times New Roman"/>
                <w:b/>
                <w:sz w:val="24"/>
                <w:szCs w:val="24"/>
              </w:rPr>
              <w:t>Забезпечення ефективних процедур громадської участі у формуванні та реалізації державної політики на національному та регіональному рівнях, вирішенні питань місцевого значення</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1)</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тренінгових програм для інститутів громадянського суспільства та фахівців, відповідальних за комунікацію з громадськістю в територіальних громадах</w:t>
            </w:r>
          </w:p>
        </w:tc>
        <w:tc>
          <w:tcPr>
            <w:tcW w:w="553" w:type="pct"/>
            <w:tcBorders>
              <w:top w:val="single" w:sz="4" w:space="0" w:color="auto"/>
              <w:left w:val="outset" w:sz="6" w:space="0" w:color="auto"/>
              <w:bottom w:val="single" w:sz="4" w:space="0" w:color="auto"/>
              <w:right w:val="single" w:sz="4" w:space="0" w:color="auto"/>
            </w:tcBorders>
          </w:tcPr>
          <w:p w:rsidR="00A54226" w:rsidRDefault="00A54226" w:rsidP="00A54226">
            <w:pPr>
              <w:jc w:val="center"/>
            </w:pPr>
            <w:r w:rsidRPr="00741540">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041CAF">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2)</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 xml:space="preserve">Забезпечення проведення публічних консультацій з громадськістю, </w:t>
            </w:r>
            <w:r w:rsidRPr="001F3D44">
              <w:rPr>
                <w:rFonts w:ascii="Times New Roman" w:hAnsi="Times New Roman"/>
                <w:sz w:val="24"/>
                <w:szCs w:val="24"/>
              </w:rPr>
              <w:lastRenderedPageBreak/>
              <w:t xml:space="preserve">конференцій, громадських слухань, засідань за круглим столом, зборів, електронних консультацій з актуальних питань та інших заходів з питань сприяння розвитку громадянського суспільства та актуальних питань соціально-економічного та гуманітарного розвитку області </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741540">
              <w:lastRenderedPageBreak/>
              <w:t xml:space="preserve">Протягом 2023 </w:t>
            </w:r>
            <w:r w:rsidRPr="00741540">
              <w:lastRenderedPageBreak/>
              <w:t>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041CAF">
              <w:lastRenderedPageBreak/>
              <w:t xml:space="preserve">Департамент інформаційної діяльності та комунікацій з громадськістю </w:t>
            </w:r>
            <w:r w:rsidRPr="00041CAF">
              <w:lastRenderedPageBreak/>
              <w:t>обласної військової адміністрації</w:t>
            </w:r>
          </w:p>
        </w:tc>
      </w:tr>
      <w:tr w:rsidR="00AB790A"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lastRenderedPageBreak/>
              <w:t>4.</w:t>
            </w:r>
          </w:p>
        </w:tc>
        <w:tc>
          <w:tcPr>
            <w:tcW w:w="4729" w:type="pct"/>
            <w:gridSpan w:val="4"/>
            <w:tcBorders>
              <w:top w:val="single" w:sz="4" w:space="0" w:color="auto"/>
              <w:left w:val="single" w:sz="4" w:space="0" w:color="auto"/>
              <w:bottom w:val="single" w:sz="4" w:space="0" w:color="auto"/>
              <w:right w:val="single" w:sz="4" w:space="0" w:color="auto"/>
            </w:tcBorders>
          </w:tcPr>
          <w:p w:rsidR="00AB790A" w:rsidRPr="007D0069" w:rsidRDefault="00AB790A" w:rsidP="00F15F5E">
            <w:pPr>
              <w:pStyle w:val="a6"/>
              <w:jc w:val="center"/>
              <w:rPr>
                <w:rFonts w:ascii="Times New Roman" w:hAnsi="Times New Roman"/>
                <w:b/>
                <w:sz w:val="24"/>
                <w:szCs w:val="24"/>
              </w:rPr>
            </w:pPr>
            <w:r w:rsidRPr="007D0069">
              <w:rPr>
                <w:rFonts w:ascii="Times New Roman" w:hAnsi="Times New Roman"/>
                <w:b/>
                <w:sz w:val="24"/>
                <w:szCs w:val="24"/>
              </w:rPr>
              <w:t>Створення сприятливих умов для формування та інституційного розвитку інститутів громадянського суспільства</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1)</w:t>
            </w:r>
          </w:p>
        </w:tc>
        <w:tc>
          <w:tcPr>
            <w:tcW w:w="1989" w:type="pct"/>
            <w:gridSpan w:val="2"/>
            <w:tcBorders>
              <w:top w:val="single" w:sz="4" w:space="0" w:color="auto"/>
              <w:left w:val="outset" w:sz="6" w:space="0" w:color="auto"/>
              <w:bottom w:val="single" w:sz="4" w:space="0" w:color="auto"/>
              <w:right w:val="single" w:sz="4" w:space="0" w:color="auto"/>
            </w:tcBorders>
          </w:tcPr>
          <w:p w:rsidR="00A54226" w:rsidRPr="001F3D44" w:rsidRDefault="00A54226" w:rsidP="00572902">
            <w:pPr>
              <w:pStyle w:val="a6"/>
              <w:rPr>
                <w:rFonts w:ascii="Times New Roman" w:hAnsi="Times New Roman"/>
                <w:sz w:val="24"/>
                <w:szCs w:val="24"/>
              </w:rPr>
            </w:pPr>
            <w:r w:rsidRPr="001F3D44">
              <w:rPr>
                <w:rFonts w:ascii="Times New Roman" w:hAnsi="Times New Roman"/>
                <w:sz w:val="24"/>
                <w:szCs w:val="24"/>
              </w:rPr>
              <w:t>Забезпечення проведенн</w:t>
            </w:r>
            <w:r w:rsidR="00572902">
              <w:rPr>
                <w:rFonts w:ascii="Times New Roman" w:hAnsi="Times New Roman"/>
                <w:sz w:val="24"/>
                <w:szCs w:val="24"/>
              </w:rPr>
              <w:t>я конкурсу з визначення програм</w:t>
            </w:r>
            <w:r w:rsidRPr="001F3D44">
              <w:rPr>
                <w:rFonts w:ascii="Times New Roman" w:hAnsi="Times New Roman"/>
                <w:sz w:val="24"/>
                <w:szCs w:val="24"/>
              </w:rPr>
              <w:t xml:space="preserve"> (проектів, заходів), розроблених інститутами громадянського суспільства, для виконання реалізації, яких надається фінансова підтримка в порядку виконання постанови Кабінету Міністрів України від 12.10.2011 року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w:t>
            </w:r>
            <w:r w:rsidR="00166081">
              <w:rPr>
                <w:rFonts w:ascii="Times New Roman" w:hAnsi="Times New Roman"/>
                <w:sz w:val="24"/>
                <w:szCs w:val="24"/>
              </w:rPr>
              <w:t xml:space="preserve">надається фінансова підтримка» </w:t>
            </w:r>
            <w:r w:rsidRPr="001F3D44">
              <w:rPr>
                <w:rFonts w:ascii="Times New Roman" w:hAnsi="Times New Roman"/>
                <w:sz w:val="24"/>
                <w:szCs w:val="24"/>
              </w:rPr>
              <w:t>(зі змінами)</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BD43B3">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2)</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Надання методичної, консультативної та організаційної допомоги місцевим органам виконавчої влади та територіальним громадам області з питань взаємодії з інститутами громадянського суспільства та розвитку громадянського суспільства у відповідних сферах діяльності</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BD43B3">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C355BE">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3)</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 xml:space="preserve">Проведення навчальних заходів для представників інститутів громадянського суспільства з питань підготовки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BD43B3">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C355BE">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4)</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навчальних заходів для інститутів громадянського суспільства області за проблематикою їхнього інституційного та професійного розвитку, надання організаційної та методичної підтримки</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E53351">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54226" w:rsidRPr="001F3D44" w:rsidTr="00DF2931">
        <w:trPr>
          <w:trHeight w:val="2184"/>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lastRenderedPageBreak/>
              <w:t>5)</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у закладах середньої, професійної (професійно-технічної) та фахової предвищої  та вищої освіти лекторіїв, факультативів інших заходів із питань інформування учнів та студентів про особливості формування громадянського суспільства, форм публічної громадської активності та самоорганізації тощо</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E53351">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54226" w:rsidRPr="001F3D44" w:rsidTr="00DF2931">
        <w:trPr>
          <w:trHeight w:val="4052"/>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6)</w:t>
            </w:r>
          </w:p>
        </w:tc>
        <w:tc>
          <w:tcPr>
            <w:tcW w:w="1989" w:type="pct"/>
            <w:gridSpan w:val="2"/>
            <w:tcBorders>
              <w:top w:val="single" w:sz="4" w:space="0" w:color="auto"/>
              <w:left w:val="single" w:sz="4" w:space="0" w:color="auto"/>
              <w:bottom w:val="single" w:sz="4" w:space="0" w:color="auto"/>
              <w:right w:val="single" w:sz="4" w:space="0" w:color="auto"/>
            </w:tcBorders>
          </w:tcPr>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Висвітлення у засобах масової інформації та соціальних мережах питань, пов’язаних з розвитком громадянського суспільства та співпраці з органами влади</w:t>
            </w:r>
          </w:p>
        </w:tc>
        <w:tc>
          <w:tcPr>
            <w:tcW w:w="553" w:type="pct"/>
            <w:tcBorders>
              <w:top w:val="single" w:sz="4" w:space="0" w:color="auto"/>
              <w:left w:val="outset" w:sz="6" w:space="0" w:color="auto"/>
              <w:bottom w:val="single" w:sz="4" w:space="0" w:color="auto"/>
              <w:right w:val="single" w:sz="4" w:space="0" w:color="auto"/>
            </w:tcBorders>
          </w:tcPr>
          <w:p w:rsidR="00AB790A" w:rsidRPr="001F3D44" w:rsidRDefault="00A54226" w:rsidP="00F15F5E">
            <w:pPr>
              <w:pStyle w:val="a6"/>
              <w:jc w:val="center"/>
              <w:rPr>
                <w:rFonts w:ascii="Times New Roman" w:hAnsi="Times New Roman"/>
                <w:sz w:val="24"/>
                <w:szCs w:val="24"/>
              </w:rPr>
            </w:pPr>
            <w:r>
              <w:rPr>
                <w:rFonts w:ascii="Times New Roman" w:hAnsi="Times New Roman"/>
                <w:sz w:val="24"/>
                <w:szCs w:val="24"/>
              </w:rPr>
              <w:t xml:space="preserve">Протягом 2023 </w:t>
            </w:r>
            <w:r w:rsidRPr="001F3D44">
              <w:rPr>
                <w:rFonts w:ascii="Times New Roman" w:hAnsi="Times New Roman"/>
                <w:sz w:val="24"/>
                <w:szCs w:val="24"/>
              </w:rPr>
              <w:t>року</w:t>
            </w:r>
          </w:p>
        </w:tc>
        <w:tc>
          <w:tcPr>
            <w:tcW w:w="2141" w:type="pct"/>
            <w:tcBorders>
              <w:top w:val="single" w:sz="4" w:space="0" w:color="auto"/>
              <w:left w:val="single" w:sz="4" w:space="0" w:color="auto"/>
              <w:bottom w:val="single" w:sz="4" w:space="0" w:color="auto"/>
              <w:right w:val="single" w:sz="4" w:space="0" w:color="auto"/>
            </w:tcBorders>
          </w:tcPr>
          <w:p w:rsidR="00AB790A" w:rsidRPr="001F3D44" w:rsidRDefault="004416DE"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B790A"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5.</w:t>
            </w:r>
          </w:p>
        </w:tc>
        <w:tc>
          <w:tcPr>
            <w:tcW w:w="4729" w:type="pct"/>
            <w:gridSpan w:val="4"/>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Стимулювання участі інститутів громадянського суспільства в соціально-економічному розвитку регіону</w:t>
            </w:r>
          </w:p>
        </w:tc>
      </w:tr>
      <w:tr w:rsidR="00A54226" w:rsidRPr="001F3D44" w:rsidTr="00DF2931">
        <w:trPr>
          <w:trHeight w:val="2357"/>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1)</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Виготовлення та розміщення соціальної реклами з тематики громадянського суспільства у ЗМІ, виготовлення відповідних інформаційних друкованих та відео матеріалів, розповсюдження їх серед населення, розміщення на об’єктах зовнішньої реклами тощо</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58653C">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41273A">
              <w:t>Департамент інформаційної діяльності та комунікацій з громадськістю обласної військової адміністрації</w:t>
            </w:r>
          </w:p>
        </w:tc>
      </w:tr>
      <w:tr w:rsidR="00A54226" w:rsidRPr="001F3D44" w:rsidTr="00DF2931">
        <w:trPr>
          <w:trHeight w:val="353"/>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2)</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05CD3">
            <w:pPr>
              <w:pStyle w:val="a6"/>
              <w:rPr>
                <w:rFonts w:ascii="Times New Roman" w:hAnsi="Times New Roman"/>
                <w:sz w:val="24"/>
                <w:szCs w:val="24"/>
              </w:rPr>
            </w:pPr>
            <w:r w:rsidRPr="001F3D44">
              <w:rPr>
                <w:rFonts w:ascii="Times New Roman" w:hAnsi="Times New Roman"/>
                <w:sz w:val="24"/>
                <w:szCs w:val="24"/>
              </w:rPr>
              <w:t>Проведення щорічного обласного форуму «Я ЗМІНЮЮ»</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58653C">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41273A">
              <w:t>Департамент інформаційної діяльності та комунікацій з громадськістю обласної військової адміністрації</w:t>
            </w:r>
          </w:p>
        </w:tc>
      </w:tr>
      <w:tr w:rsidR="00A54226" w:rsidRPr="001F3D44" w:rsidTr="00DF2931">
        <w:trPr>
          <w:trHeight w:val="353"/>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3)</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Проведення щорічного форуму консультативно-дорадчих органів при органах місцевої влади</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58653C">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7710BB">
              <w:t>Департамент інформаційної діяльності та комунікацій з громадськістю обласної військової адміністрації</w:t>
            </w:r>
          </w:p>
        </w:tc>
      </w:tr>
      <w:tr w:rsidR="00A54226" w:rsidRPr="001F3D44" w:rsidTr="00DF2931">
        <w:trPr>
          <w:trHeight w:val="353"/>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4)</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Стимулювання розвитку соціального підприємництва, зокрема, розробка пропозицій щодо вдосконалення механізмів організаційної та методичної підтримки такої діяльності</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58653C">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7710BB">
              <w:t>Департамент інформаційної діяльності та комунікацій з громадськістю обласної військової адміністрації</w:t>
            </w:r>
          </w:p>
        </w:tc>
      </w:tr>
      <w:tr w:rsidR="00A54226" w:rsidRPr="001F3D44" w:rsidTr="00DF2931">
        <w:trPr>
          <w:trHeight w:val="353"/>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5)</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 xml:space="preserve">Проведення ярмарку проєктів інститутів громадянського суспільства та відбору успішних </w:t>
            </w:r>
            <w:r w:rsidRPr="001F3D44">
              <w:rPr>
                <w:rFonts w:ascii="Times New Roman" w:hAnsi="Times New Roman"/>
                <w:sz w:val="24"/>
                <w:szCs w:val="24"/>
              </w:rPr>
              <w:lastRenderedPageBreak/>
              <w:t>практик реалізації громадських ініціатив у вирішенні питань місцевого значення</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BA71A0">
              <w:lastRenderedPageBreak/>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54226" w:rsidRPr="001F3D44" w:rsidTr="00DF2931">
        <w:trPr>
          <w:trHeight w:val="353"/>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lastRenderedPageBreak/>
              <w:t>6)</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Створення сприятливих умов для підвищення рівня обізнаності громадськості про участь інститутів громадянського суспільства в соціально-економічному розвитку регіону</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BA71A0">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r w:rsidR="00AB790A"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6.</w:t>
            </w:r>
          </w:p>
        </w:tc>
        <w:tc>
          <w:tcPr>
            <w:tcW w:w="4729" w:type="pct"/>
            <w:gridSpan w:val="4"/>
            <w:tcBorders>
              <w:top w:val="single" w:sz="4" w:space="0" w:color="auto"/>
              <w:left w:val="single" w:sz="4" w:space="0" w:color="auto"/>
              <w:bottom w:val="single" w:sz="4" w:space="0" w:color="auto"/>
              <w:right w:val="single" w:sz="4" w:space="0" w:color="auto"/>
            </w:tcBorders>
          </w:tcPr>
          <w:p w:rsidR="00AB790A" w:rsidRPr="007D0069" w:rsidRDefault="00AB790A" w:rsidP="00F15F5E">
            <w:pPr>
              <w:pStyle w:val="a6"/>
              <w:jc w:val="center"/>
              <w:rPr>
                <w:rFonts w:ascii="Times New Roman" w:hAnsi="Times New Roman"/>
                <w:b/>
                <w:sz w:val="24"/>
                <w:szCs w:val="24"/>
              </w:rPr>
            </w:pPr>
            <w:r w:rsidRPr="007D0069">
              <w:rPr>
                <w:rFonts w:ascii="Times New Roman" w:hAnsi="Times New Roman"/>
                <w:b/>
                <w:sz w:val="24"/>
                <w:szCs w:val="24"/>
              </w:rPr>
              <w:t>Створення сприятливих умов для міжсекторальної співпраці</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1)</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Створення інформаційних продуктів з метою популяризації механізмів громадської участі</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717594">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9821F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outset" w:sz="6"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2)</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Вивчення громадської думки із суспільно важливих питань області</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717594">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9821F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3)</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 xml:space="preserve">Проведення навчальних заходів щодо кращих практик міжсекторальної співпраці, взаємодії між інститутами громадянського суспільства, органами державної влади, органами місцевого самоврядування та суб’єктами підприємницької діяльності та роз’яснення відповідних механізмів </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717594">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9821F6">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4)</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Підвищення рівня обізнаності громадян, органів державної влади, органів місцевого самоврядування, суб’єктів підприємницької діяльності із принципами та критеріями роботи  доброчесних інститутів громадянського суспільства</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DF4CE7">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46002E">
              <w:t>Департамент інформаційної діяльності та комунікацій з громадськістю обласної військової адміністрації</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5)</w:t>
            </w:r>
          </w:p>
        </w:tc>
        <w:tc>
          <w:tcPr>
            <w:tcW w:w="1989" w:type="pct"/>
            <w:gridSpan w:val="2"/>
            <w:tcBorders>
              <w:top w:val="single" w:sz="4" w:space="0" w:color="auto"/>
              <w:left w:val="single" w:sz="4" w:space="0" w:color="auto"/>
              <w:bottom w:val="single" w:sz="4" w:space="0" w:color="auto"/>
              <w:right w:val="single" w:sz="4" w:space="0" w:color="auto"/>
            </w:tcBorders>
          </w:tcPr>
          <w:p w:rsidR="00A54226" w:rsidRPr="001F3D44" w:rsidRDefault="00A54226" w:rsidP="001F3D44">
            <w:pPr>
              <w:pStyle w:val="a6"/>
              <w:rPr>
                <w:rFonts w:ascii="Times New Roman" w:hAnsi="Times New Roman"/>
                <w:sz w:val="24"/>
                <w:szCs w:val="24"/>
              </w:rPr>
            </w:pPr>
            <w:r w:rsidRPr="001F3D44">
              <w:rPr>
                <w:rFonts w:ascii="Times New Roman" w:hAnsi="Times New Roman"/>
                <w:sz w:val="24"/>
                <w:szCs w:val="24"/>
              </w:rPr>
              <w:t>Розроблення і поширення методичних рекомендацій щодо використання інститутами громадянського суспільства та громадянами механізмів участі у формуванні та реалізації державної та регіональної політики</w:t>
            </w:r>
          </w:p>
        </w:tc>
        <w:tc>
          <w:tcPr>
            <w:tcW w:w="553" w:type="pct"/>
            <w:tcBorders>
              <w:top w:val="single" w:sz="4" w:space="0" w:color="auto"/>
              <w:left w:val="single" w:sz="4" w:space="0" w:color="auto"/>
              <w:bottom w:val="single" w:sz="4" w:space="0" w:color="auto"/>
              <w:right w:val="single" w:sz="4" w:space="0" w:color="auto"/>
            </w:tcBorders>
          </w:tcPr>
          <w:p w:rsidR="00A54226" w:rsidRDefault="00A54226" w:rsidP="00A54226">
            <w:pPr>
              <w:jc w:val="center"/>
            </w:pPr>
            <w:r w:rsidRPr="00DF4CE7">
              <w:t>Протягом 2023 року</w:t>
            </w:r>
          </w:p>
        </w:tc>
        <w:tc>
          <w:tcPr>
            <w:tcW w:w="2141" w:type="pct"/>
            <w:tcBorders>
              <w:top w:val="single" w:sz="4" w:space="0" w:color="auto"/>
              <w:left w:val="single" w:sz="4" w:space="0" w:color="auto"/>
              <w:bottom w:val="single" w:sz="4" w:space="0" w:color="auto"/>
              <w:right w:val="single" w:sz="4" w:space="0" w:color="auto"/>
            </w:tcBorders>
          </w:tcPr>
          <w:p w:rsidR="00A54226" w:rsidRDefault="00A54226">
            <w:r w:rsidRPr="0046002E">
              <w:t>Департамент інформаційної діяльності та комунікацій з громадськістю обласної військової адміністрації</w:t>
            </w:r>
          </w:p>
        </w:tc>
      </w:tr>
      <w:tr w:rsidR="00AB790A" w:rsidRPr="001F3D44" w:rsidTr="00E242FA">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7.</w:t>
            </w:r>
          </w:p>
        </w:tc>
        <w:tc>
          <w:tcPr>
            <w:tcW w:w="4729" w:type="pct"/>
            <w:gridSpan w:val="4"/>
            <w:tcBorders>
              <w:top w:val="single" w:sz="4" w:space="0" w:color="auto"/>
              <w:left w:val="single" w:sz="4" w:space="0" w:color="auto"/>
              <w:bottom w:val="single" w:sz="4" w:space="0" w:color="auto"/>
              <w:right w:val="single" w:sz="4" w:space="0" w:color="auto"/>
            </w:tcBorders>
          </w:tcPr>
          <w:p w:rsidR="00AB790A" w:rsidRPr="007D0069" w:rsidRDefault="00AB790A" w:rsidP="007D0069">
            <w:pPr>
              <w:pStyle w:val="a6"/>
              <w:jc w:val="center"/>
              <w:rPr>
                <w:rFonts w:ascii="Times New Roman" w:hAnsi="Times New Roman"/>
                <w:b/>
                <w:sz w:val="24"/>
                <w:szCs w:val="24"/>
              </w:rPr>
            </w:pPr>
            <w:r w:rsidRPr="007D0069">
              <w:rPr>
                <w:rFonts w:ascii="Times New Roman" w:hAnsi="Times New Roman"/>
                <w:b/>
                <w:sz w:val="24"/>
                <w:szCs w:val="24"/>
              </w:rPr>
              <w:t>Заходи з нагоди відзначення державних свят, пам’ятних, ювілейних та знаменних дат і проведення інших заходів</w:t>
            </w:r>
          </w:p>
        </w:tc>
      </w:tr>
      <w:tr w:rsidR="00A54226" w:rsidRPr="001F3D44" w:rsidTr="00DF2931">
        <w:trPr>
          <w:tblCellSpacing w:w="22" w:type="dxa"/>
        </w:trPr>
        <w:tc>
          <w:tcPr>
            <w:tcW w:w="204" w:type="pct"/>
            <w:tcBorders>
              <w:top w:val="single" w:sz="4" w:space="0" w:color="auto"/>
              <w:left w:val="single" w:sz="4" w:space="0" w:color="auto"/>
              <w:bottom w:val="single" w:sz="4" w:space="0" w:color="auto"/>
              <w:right w:val="single" w:sz="4" w:space="0" w:color="auto"/>
            </w:tcBorders>
          </w:tcPr>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1)</w:t>
            </w:r>
          </w:p>
        </w:tc>
        <w:tc>
          <w:tcPr>
            <w:tcW w:w="1989" w:type="pct"/>
            <w:gridSpan w:val="2"/>
            <w:tcBorders>
              <w:top w:val="single" w:sz="4" w:space="0" w:color="auto"/>
              <w:left w:val="single" w:sz="4" w:space="0" w:color="auto"/>
              <w:bottom w:val="single" w:sz="4" w:space="0" w:color="auto"/>
              <w:right w:val="single" w:sz="4" w:space="0" w:color="auto"/>
            </w:tcBorders>
          </w:tcPr>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Відзначення державних і професійних  свят, історичних та визначних подій, ювілейних та пам’ятних дат:</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xml:space="preserve">– забезпечення участі делегацій області у загальнодержавних заходах у м. Києві та регіонах України, прийому офіційних </w:t>
            </w:r>
            <w:r w:rsidRPr="001F3D44">
              <w:rPr>
                <w:rFonts w:ascii="Times New Roman" w:hAnsi="Times New Roman"/>
                <w:sz w:val="24"/>
                <w:szCs w:val="24"/>
              </w:rPr>
              <w:lastRenderedPageBreak/>
              <w:t>делегацій;</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поширення соціальної реклами з відзначення святкових заходів та інших важливих подій;</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забезпечення квітковою продукцією для вручення  нагородженим відзнаками обласного рівня та для покладань  до пам’ятників та пам’ятних  знаків;</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виготовлення та розповсюдження інформаційно-просвітницької та іншої продукції (буклетів, листівок, постерів, сіті лайтів, плакатів, відеопродукції, державної символіки, сувенірної продукції тощо) про героїчну боротьбу українського народу за незалежність, суверенітет та територіальну цілісність України, просування національних патріотичних цінностей, зміцнення державності, історичної пам’яті, консолідації громадянського суспільства тощо;</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виготовлення бланків грамот та подяк;</w:t>
            </w:r>
          </w:p>
          <w:p w:rsidR="00AB790A" w:rsidRPr="001F3D44" w:rsidRDefault="00AB790A" w:rsidP="001F3D44">
            <w:pPr>
              <w:pStyle w:val="a6"/>
              <w:rPr>
                <w:rFonts w:ascii="Times New Roman" w:hAnsi="Times New Roman"/>
                <w:sz w:val="24"/>
                <w:szCs w:val="24"/>
              </w:rPr>
            </w:pPr>
            <w:r w:rsidRPr="001F3D44">
              <w:rPr>
                <w:rFonts w:ascii="Times New Roman" w:hAnsi="Times New Roman"/>
                <w:sz w:val="24"/>
                <w:szCs w:val="24"/>
              </w:rPr>
              <w:t>– проведення інших заходів</w:t>
            </w:r>
          </w:p>
        </w:tc>
        <w:tc>
          <w:tcPr>
            <w:tcW w:w="553" w:type="pct"/>
            <w:tcBorders>
              <w:top w:val="single" w:sz="4" w:space="0" w:color="auto"/>
              <w:left w:val="single" w:sz="4" w:space="0" w:color="auto"/>
              <w:bottom w:val="single" w:sz="4" w:space="0" w:color="auto"/>
              <w:right w:val="single" w:sz="4" w:space="0" w:color="auto"/>
            </w:tcBorders>
          </w:tcPr>
          <w:p w:rsidR="00AB790A" w:rsidRPr="001F3D44" w:rsidRDefault="00A54226" w:rsidP="00F15F5E">
            <w:pPr>
              <w:pStyle w:val="a6"/>
              <w:jc w:val="center"/>
              <w:rPr>
                <w:rFonts w:ascii="Times New Roman" w:hAnsi="Times New Roman"/>
                <w:sz w:val="24"/>
                <w:szCs w:val="24"/>
              </w:rPr>
            </w:pPr>
            <w:r>
              <w:rPr>
                <w:rFonts w:ascii="Times New Roman" w:hAnsi="Times New Roman"/>
                <w:sz w:val="24"/>
                <w:szCs w:val="24"/>
              </w:rPr>
              <w:lastRenderedPageBreak/>
              <w:t xml:space="preserve">Протягом 2023 </w:t>
            </w:r>
            <w:r w:rsidRPr="001F3D44">
              <w:rPr>
                <w:rFonts w:ascii="Times New Roman" w:hAnsi="Times New Roman"/>
                <w:sz w:val="24"/>
                <w:szCs w:val="24"/>
              </w:rPr>
              <w:t>року</w:t>
            </w:r>
          </w:p>
        </w:tc>
        <w:tc>
          <w:tcPr>
            <w:tcW w:w="2141" w:type="pct"/>
            <w:tcBorders>
              <w:top w:val="single" w:sz="4" w:space="0" w:color="auto"/>
              <w:left w:val="single" w:sz="4" w:space="0" w:color="auto"/>
              <w:bottom w:val="single" w:sz="4" w:space="0" w:color="auto"/>
              <w:right w:val="single" w:sz="4" w:space="0" w:color="auto"/>
            </w:tcBorders>
          </w:tcPr>
          <w:p w:rsidR="00AB790A" w:rsidRPr="001F3D44" w:rsidRDefault="004416DE" w:rsidP="001F3D44">
            <w:pPr>
              <w:pStyle w:val="a6"/>
              <w:rPr>
                <w:rFonts w:ascii="Times New Roman" w:hAnsi="Times New Roman"/>
                <w:sz w:val="24"/>
                <w:szCs w:val="24"/>
              </w:rPr>
            </w:pPr>
            <w:r w:rsidRPr="001F3D44">
              <w:rPr>
                <w:rFonts w:ascii="Times New Roman" w:hAnsi="Times New Roman"/>
                <w:sz w:val="24"/>
                <w:szCs w:val="24"/>
              </w:rPr>
              <w:t>Департамент інформаційної діяльності та комунікацій з громадськістю обл</w:t>
            </w:r>
            <w:r>
              <w:rPr>
                <w:rFonts w:ascii="Times New Roman" w:hAnsi="Times New Roman"/>
                <w:sz w:val="24"/>
                <w:szCs w:val="24"/>
              </w:rPr>
              <w:t xml:space="preserve">асної військової </w:t>
            </w:r>
            <w:r w:rsidRPr="001F3D44">
              <w:rPr>
                <w:rFonts w:ascii="Times New Roman" w:hAnsi="Times New Roman"/>
                <w:sz w:val="24"/>
                <w:szCs w:val="24"/>
              </w:rPr>
              <w:t>адміністрації</w:t>
            </w:r>
          </w:p>
        </w:tc>
      </w:tr>
    </w:tbl>
    <w:p w:rsidR="005D36CE" w:rsidRPr="001F3D44" w:rsidRDefault="005D36CE" w:rsidP="001F3D44">
      <w:pPr>
        <w:pStyle w:val="a6"/>
        <w:rPr>
          <w:rFonts w:ascii="Times New Roman" w:hAnsi="Times New Roman"/>
          <w:sz w:val="24"/>
          <w:szCs w:val="24"/>
        </w:rPr>
      </w:pPr>
    </w:p>
    <w:p w:rsidR="00561B99" w:rsidRPr="001F3D44" w:rsidRDefault="00561B99" w:rsidP="007D0069">
      <w:pPr>
        <w:pStyle w:val="a6"/>
        <w:jc w:val="center"/>
        <w:rPr>
          <w:rFonts w:ascii="Times New Roman" w:hAnsi="Times New Roman"/>
          <w:sz w:val="24"/>
          <w:szCs w:val="24"/>
        </w:rPr>
      </w:pPr>
      <w:r w:rsidRPr="001F3D44">
        <w:rPr>
          <w:rFonts w:ascii="Times New Roman" w:hAnsi="Times New Roman"/>
          <w:sz w:val="24"/>
          <w:szCs w:val="24"/>
        </w:rPr>
        <w:t>____________________________________</w:t>
      </w:r>
    </w:p>
    <w:sectPr w:rsidR="00561B99" w:rsidRPr="001F3D44" w:rsidSect="00220F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D759"/>
    <w:multiLevelType w:val="multilevel"/>
    <w:tmpl w:val="564DD759"/>
    <w:name w:val="Нcdуf3мecеe5рf0оeeвe2аe0нedнedыfbйe9 сf1пefиe8сf1оeeкea 1"/>
    <w:lvl w:ilvl="0">
      <w:start w:val="8"/>
      <w:numFmt w:val="bullet"/>
      <w:lvlText w:val="-"/>
      <w:lvlJc w:val="left"/>
      <w:pPr>
        <w:ind w:left="360"/>
      </w:pPr>
      <w:rPr>
        <w:rFonts w:ascii="Times New Roman" w:eastAsia="Times New Roman" w:hAnsi="Times New Roman"/>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1">
    <w:nsid w:val="5E4674DB"/>
    <w:multiLevelType w:val="hybridMultilevel"/>
    <w:tmpl w:val="77CE9444"/>
    <w:lvl w:ilvl="0" w:tplc="054A45C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20"/>
  <w:displayHorizontalDrawingGridEvery w:val="2"/>
  <w:characterSpacingControl w:val="doNotCompress"/>
  <w:compat/>
  <w:rsids>
    <w:rsidRoot w:val="005D36CE"/>
    <w:rsid w:val="000451DD"/>
    <w:rsid w:val="0005320D"/>
    <w:rsid w:val="00056C02"/>
    <w:rsid w:val="0005707A"/>
    <w:rsid w:val="000570E7"/>
    <w:rsid w:val="000611F7"/>
    <w:rsid w:val="000744A2"/>
    <w:rsid w:val="00075D86"/>
    <w:rsid w:val="000873A0"/>
    <w:rsid w:val="000959D2"/>
    <w:rsid w:val="000D289E"/>
    <w:rsid w:val="000E7F3D"/>
    <w:rsid w:val="000F3A5B"/>
    <w:rsid w:val="00104C91"/>
    <w:rsid w:val="00105CD3"/>
    <w:rsid w:val="00134214"/>
    <w:rsid w:val="0014765C"/>
    <w:rsid w:val="00166081"/>
    <w:rsid w:val="00173D8C"/>
    <w:rsid w:val="00181AC9"/>
    <w:rsid w:val="00185CA1"/>
    <w:rsid w:val="001907D0"/>
    <w:rsid w:val="001C0183"/>
    <w:rsid w:val="001F3D44"/>
    <w:rsid w:val="001F6375"/>
    <w:rsid w:val="002029F3"/>
    <w:rsid w:val="002157DE"/>
    <w:rsid w:val="00216658"/>
    <w:rsid w:val="00220FF8"/>
    <w:rsid w:val="00254D66"/>
    <w:rsid w:val="002A065B"/>
    <w:rsid w:val="002A5F98"/>
    <w:rsid w:val="002D0886"/>
    <w:rsid w:val="002D2A07"/>
    <w:rsid w:val="003035B0"/>
    <w:rsid w:val="0034676B"/>
    <w:rsid w:val="00366149"/>
    <w:rsid w:val="00367912"/>
    <w:rsid w:val="00370BB9"/>
    <w:rsid w:val="00373283"/>
    <w:rsid w:val="003738FF"/>
    <w:rsid w:val="003A5974"/>
    <w:rsid w:val="003C0CE3"/>
    <w:rsid w:val="003F1750"/>
    <w:rsid w:val="003F233E"/>
    <w:rsid w:val="004079C9"/>
    <w:rsid w:val="004416DE"/>
    <w:rsid w:val="00446D68"/>
    <w:rsid w:val="004539EF"/>
    <w:rsid w:val="00453B40"/>
    <w:rsid w:val="00460A18"/>
    <w:rsid w:val="00483C0C"/>
    <w:rsid w:val="00487E05"/>
    <w:rsid w:val="004A51D4"/>
    <w:rsid w:val="004C5176"/>
    <w:rsid w:val="004E0FD6"/>
    <w:rsid w:val="004E4012"/>
    <w:rsid w:val="004F594B"/>
    <w:rsid w:val="00503E30"/>
    <w:rsid w:val="00512758"/>
    <w:rsid w:val="00537E84"/>
    <w:rsid w:val="005423CC"/>
    <w:rsid w:val="00556F65"/>
    <w:rsid w:val="00560B4A"/>
    <w:rsid w:val="00561B99"/>
    <w:rsid w:val="00572902"/>
    <w:rsid w:val="00576C36"/>
    <w:rsid w:val="005B7591"/>
    <w:rsid w:val="005C50C7"/>
    <w:rsid w:val="005C6AC2"/>
    <w:rsid w:val="005D36CE"/>
    <w:rsid w:val="005F4B27"/>
    <w:rsid w:val="006015A1"/>
    <w:rsid w:val="00621DC3"/>
    <w:rsid w:val="00637214"/>
    <w:rsid w:val="00643BB5"/>
    <w:rsid w:val="00654B84"/>
    <w:rsid w:val="006761C3"/>
    <w:rsid w:val="006852A9"/>
    <w:rsid w:val="00685D7D"/>
    <w:rsid w:val="0069219D"/>
    <w:rsid w:val="006A7FBA"/>
    <w:rsid w:val="006B613F"/>
    <w:rsid w:val="006B6414"/>
    <w:rsid w:val="006C0C89"/>
    <w:rsid w:val="006D3881"/>
    <w:rsid w:val="006E6084"/>
    <w:rsid w:val="006F1938"/>
    <w:rsid w:val="006F6E18"/>
    <w:rsid w:val="007064A2"/>
    <w:rsid w:val="00723E42"/>
    <w:rsid w:val="007272D5"/>
    <w:rsid w:val="0073718A"/>
    <w:rsid w:val="00750D3B"/>
    <w:rsid w:val="0076047F"/>
    <w:rsid w:val="0079722B"/>
    <w:rsid w:val="007C26C0"/>
    <w:rsid w:val="007D0069"/>
    <w:rsid w:val="007D60B5"/>
    <w:rsid w:val="007F69D9"/>
    <w:rsid w:val="00843A2E"/>
    <w:rsid w:val="00855054"/>
    <w:rsid w:val="0087092B"/>
    <w:rsid w:val="00875325"/>
    <w:rsid w:val="008776AB"/>
    <w:rsid w:val="00881937"/>
    <w:rsid w:val="008D2B5E"/>
    <w:rsid w:val="009536C6"/>
    <w:rsid w:val="009869B1"/>
    <w:rsid w:val="009A4923"/>
    <w:rsid w:val="009B574F"/>
    <w:rsid w:val="009F59F0"/>
    <w:rsid w:val="00A0100B"/>
    <w:rsid w:val="00A217DE"/>
    <w:rsid w:val="00A2188B"/>
    <w:rsid w:val="00A4694C"/>
    <w:rsid w:val="00A54226"/>
    <w:rsid w:val="00A6089D"/>
    <w:rsid w:val="00A9266D"/>
    <w:rsid w:val="00AB6284"/>
    <w:rsid w:val="00AB790A"/>
    <w:rsid w:val="00B175FF"/>
    <w:rsid w:val="00B51A51"/>
    <w:rsid w:val="00B737EE"/>
    <w:rsid w:val="00B95991"/>
    <w:rsid w:val="00BA364D"/>
    <w:rsid w:val="00BB0599"/>
    <w:rsid w:val="00BE0986"/>
    <w:rsid w:val="00C009E7"/>
    <w:rsid w:val="00C04CDA"/>
    <w:rsid w:val="00C11EBF"/>
    <w:rsid w:val="00C158BE"/>
    <w:rsid w:val="00C3121D"/>
    <w:rsid w:val="00C32A6D"/>
    <w:rsid w:val="00C451B7"/>
    <w:rsid w:val="00C51CE9"/>
    <w:rsid w:val="00C52D55"/>
    <w:rsid w:val="00C74D8F"/>
    <w:rsid w:val="00C74EAF"/>
    <w:rsid w:val="00C851D0"/>
    <w:rsid w:val="00C9259F"/>
    <w:rsid w:val="00C97A7B"/>
    <w:rsid w:val="00CB3BD8"/>
    <w:rsid w:val="00CD2651"/>
    <w:rsid w:val="00D01BD5"/>
    <w:rsid w:val="00D14562"/>
    <w:rsid w:val="00D41F36"/>
    <w:rsid w:val="00D4222A"/>
    <w:rsid w:val="00D55DB2"/>
    <w:rsid w:val="00D70C2D"/>
    <w:rsid w:val="00D84BC5"/>
    <w:rsid w:val="00D87A9D"/>
    <w:rsid w:val="00D94285"/>
    <w:rsid w:val="00DB675B"/>
    <w:rsid w:val="00DE06A8"/>
    <w:rsid w:val="00DE278A"/>
    <w:rsid w:val="00DF2931"/>
    <w:rsid w:val="00E14879"/>
    <w:rsid w:val="00E23EC7"/>
    <w:rsid w:val="00E242FA"/>
    <w:rsid w:val="00E37897"/>
    <w:rsid w:val="00E44BA5"/>
    <w:rsid w:val="00E533C1"/>
    <w:rsid w:val="00E73472"/>
    <w:rsid w:val="00E75713"/>
    <w:rsid w:val="00E90186"/>
    <w:rsid w:val="00E91554"/>
    <w:rsid w:val="00E97D99"/>
    <w:rsid w:val="00EC4FE7"/>
    <w:rsid w:val="00ED27DE"/>
    <w:rsid w:val="00EE2386"/>
    <w:rsid w:val="00EF79BC"/>
    <w:rsid w:val="00F03E8F"/>
    <w:rsid w:val="00F06348"/>
    <w:rsid w:val="00F15F5E"/>
    <w:rsid w:val="00F21CCD"/>
    <w:rsid w:val="00F449C1"/>
    <w:rsid w:val="00F532A6"/>
    <w:rsid w:val="00F835BE"/>
    <w:rsid w:val="00F93BE2"/>
    <w:rsid w:val="00FC768D"/>
    <w:rsid w:val="00FD3451"/>
    <w:rsid w:val="00FE6A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CE"/>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qFormat/>
    <w:rsid w:val="005D36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36CE"/>
    <w:rPr>
      <w:rFonts w:ascii="Times New Roman" w:eastAsia="Times New Roman" w:hAnsi="Times New Roman" w:cs="Times New Roman"/>
      <w:b/>
      <w:bCs/>
      <w:sz w:val="27"/>
      <w:szCs w:val="27"/>
      <w:lang w:eastAsia="uk-UA"/>
    </w:rPr>
  </w:style>
  <w:style w:type="paragraph" w:styleId="a3">
    <w:name w:val="Normal (Web)"/>
    <w:basedOn w:val="a"/>
    <w:rsid w:val="005D36CE"/>
    <w:pPr>
      <w:spacing w:before="100" w:beforeAutospacing="1" w:after="100" w:afterAutospacing="1"/>
    </w:pPr>
  </w:style>
  <w:style w:type="paragraph" w:customStyle="1" w:styleId="21">
    <w:name w:val="Основной текст 21"/>
    <w:basedOn w:val="a"/>
    <w:rsid w:val="005D36CE"/>
    <w:pPr>
      <w:ind w:firstLine="600"/>
      <w:jc w:val="both"/>
    </w:pPr>
    <w:rPr>
      <w:rFonts w:ascii="Arial" w:eastAsia="Calibri" w:hAnsi="Arial"/>
      <w:sz w:val="26"/>
      <w:szCs w:val="20"/>
      <w:lang w:eastAsia="ru-RU"/>
    </w:rPr>
  </w:style>
  <w:style w:type="character" w:customStyle="1" w:styleId="31">
    <w:name w:val="Основной текст (3)_"/>
    <w:link w:val="32"/>
    <w:locked/>
    <w:rsid w:val="00F93BE2"/>
    <w:rPr>
      <w:spacing w:val="3"/>
      <w:sz w:val="21"/>
      <w:shd w:val="clear" w:color="auto" w:fill="FFFFFF"/>
    </w:rPr>
  </w:style>
  <w:style w:type="paragraph" w:customStyle="1" w:styleId="32">
    <w:name w:val="Основной текст (3)"/>
    <w:basedOn w:val="a"/>
    <w:link w:val="31"/>
    <w:rsid w:val="00F93BE2"/>
    <w:pPr>
      <w:widowControl w:val="0"/>
      <w:shd w:val="clear" w:color="auto" w:fill="FFFFFF"/>
      <w:spacing w:before="60" w:line="274" w:lineRule="exact"/>
    </w:pPr>
    <w:rPr>
      <w:rFonts w:asciiTheme="minorHAnsi" w:eastAsiaTheme="minorHAnsi" w:hAnsiTheme="minorHAnsi" w:cstheme="minorBidi"/>
      <w:spacing w:val="3"/>
      <w:sz w:val="21"/>
      <w:szCs w:val="22"/>
      <w:lang w:eastAsia="en-US"/>
    </w:rPr>
  </w:style>
  <w:style w:type="paragraph" w:styleId="a4">
    <w:name w:val="Balloon Text"/>
    <w:basedOn w:val="a"/>
    <w:link w:val="a5"/>
    <w:uiPriority w:val="99"/>
    <w:semiHidden/>
    <w:unhideWhenUsed/>
    <w:rsid w:val="007D60B5"/>
    <w:rPr>
      <w:rFonts w:ascii="Tahoma" w:hAnsi="Tahoma" w:cs="Tahoma"/>
      <w:sz w:val="16"/>
      <w:szCs w:val="16"/>
    </w:rPr>
  </w:style>
  <w:style w:type="character" w:customStyle="1" w:styleId="a5">
    <w:name w:val="Текст выноски Знак"/>
    <w:basedOn w:val="a0"/>
    <w:link w:val="a4"/>
    <w:uiPriority w:val="99"/>
    <w:semiHidden/>
    <w:rsid w:val="007D60B5"/>
    <w:rPr>
      <w:rFonts w:ascii="Tahoma" w:eastAsia="Times New Roman" w:hAnsi="Tahoma" w:cs="Tahoma"/>
      <w:sz w:val="16"/>
      <w:szCs w:val="16"/>
      <w:lang w:eastAsia="uk-UA"/>
    </w:rPr>
  </w:style>
  <w:style w:type="paragraph" w:styleId="a6">
    <w:name w:val="No Spacing"/>
    <w:uiPriority w:val="1"/>
    <w:qFormat/>
    <w:rsid w:val="00FE6A8F"/>
    <w:pPr>
      <w:spacing w:after="0" w:line="240" w:lineRule="auto"/>
    </w:pPr>
    <w:rPr>
      <w:rFonts w:ascii="Calibri" w:eastAsia="Calibri" w:hAnsi="Calibri" w:cs="Times New Roman"/>
    </w:rPr>
  </w:style>
  <w:style w:type="paragraph" w:styleId="a7">
    <w:name w:val="List Paragraph"/>
    <w:basedOn w:val="a"/>
    <w:uiPriority w:val="34"/>
    <w:qFormat/>
    <w:rsid w:val="005F4B2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7943</Words>
  <Characters>4528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Админ1</cp:lastModifiedBy>
  <cp:revision>14</cp:revision>
  <cp:lastPrinted>2019-11-29T13:40:00Z</cp:lastPrinted>
  <dcterms:created xsi:type="dcterms:W3CDTF">2022-10-21T07:11:00Z</dcterms:created>
  <dcterms:modified xsi:type="dcterms:W3CDTF">2022-10-21T07:52:00Z</dcterms:modified>
</cp:coreProperties>
</file>